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ppendix-e.-verdict-traceability-matrix"/>
    <w:p>
      <w:pPr>
        <w:pStyle w:val="Heading1"/>
      </w:pPr>
      <w:r>
        <w:t xml:space="preserve">Appendix E. Verdict Traceability Matrix</w:t>
      </w:r>
    </w:p>
    <w:p>
      <w:pPr>
        <w:pStyle w:val="FirstParagraph"/>
      </w:pPr>
      <w:r>
        <w:t xml:space="preserve">One row per case-and-explanation. The matrix makes the falsification symmetry auditable: each explanation is rejected or supported on its own pre-specified evidence, not by residual. Supporting evidence, with full citations, is in Appendix D and the bibliography.</w:t>
      </w:r>
    </w:p>
    <w:p>
      <w:pPr>
        <w:pStyle w:val="BodyText"/>
      </w:pPr>
      <w:r>
        <w:rPr>
          <w:bCs/>
          <w:b/>
        </w:rPr>
        <w:t xml:space="preserve">Verdict terms (Chapter 2, Section 2.6):</w:t>
      </w:r>
      <w:r>
        <w:t xml:space="preserve"> </w:t>
      </w:r>
      <w:r>
        <w:t xml:space="preserve">most consistent with the evidence; consistent but not decisive; an enabling condition insufficient on its own; rejected as sufficient; rejected for specific cases.</w:t>
      </w:r>
      <w:r>
        <w:t xml:space="preserve"> </w:t>
      </w:r>
      <w:r>
        <w:rPr>
          <w:bCs/>
          <w:b/>
        </w:rPr>
        <w:t xml:space="preserve">Test status (not a verdict term):</w:t>
      </w:r>
      <w:r>
        <w:t xml:space="preserve"> </w:t>
      </w:r>
      <w:r>
        <w:t xml:space="preserve">where a case lacks the observable implication needed to test an explanation, the matrix records</w:t>
      </w:r>
      <w:r>
        <w:t xml:space="preserve"> </w:t>
      </w:r>
      <w:r>
        <w:t xml:space="preserve">“</w:t>
      </w:r>
      <w:r>
        <w:t xml:space="preserve">not tested / not applicable</w:t>
      </w:r>
      <w:r>
        <w:t xml:space="preserve">”</w:t>
      </w:r>
      <w:r>
        <w:t xml:space="preserve"> </w:t>
      </w:r>
      <w:r>
        <w:t xml:space="preserve">rather than forcing a verdict.</w:t>
      </w:r>
      <w:r>
        <w:t xml:space="preserve"> </w:t>
      </w:r>
      <w:r>
        <w:rPr>
          <w:bCs/>
          <w:b/>
        </w:rPr>
        <w:t xml:space="preserve">Confidence levels:</w:t>
      </w:r>
      <w:r>
        <w:t xml:space="preserve"> </w:t>
      </w:r>
      <w:r>
        <w:t xml:space="preserve">High = multiple independent sources converge and the inference is direct; Medium = sources converge but the inference requires interpretation; Low = single source or weak inference.</w:t>
      </w:r>
      <w:r>
        <w:t xml:space="preserve"> </w:t>
      </w:r>
      <w:r>
        <w:rPr>
          <w:bCs/>
          <w:b/>
        </w:rPr>
        <w:t xml:space="preserve">Evidence type:</w:t>
      </w:r>
      <w:r>
        <w:t xml:space="preserve"> </w:t>
      </w:r>
      <w:r>
        <w:t xml:space="preserve">audited/regulatory record (strongest), Tier B trade reporting, corporate profile, technical inference.</w:t>
      </w:r>
    </w:p>
    <w:bookmarkStart w:id="20" w:name="aiteo-oml-29"/>
    <w:p>
      <w:pPr>
        <w:pStyle w:val="Heading2"/>
        <w:sectPr>
          <w:pgSz w:w="12240" w:h="15840"/>
          <w:pgMar w:top="1440" w:bottom="1440" w:left="1800" w:right="1800" w:header="720" w:footer="720" w:gutter="0"/>
        </w:sectPr>
      </w:pPr>
      <w:r>
        <w:t xml:space="preserve">Aiteo (OML 29)</w:t>
      </w:r>
    </w:p>
    <w:p>
      <w:pPr>
        <w:pStyle w:val="FirstParagraph"/>
      </w:pPr>
      <w:r>
        <w:rPr>
          <w:bCs/>
          <w:b/>
        </w:rPr>
        <w:t xml:space="preserve">Table E.1. Verdict matrix for the Aiteo case (OML 29). Each explanation is assessed on its own pre-specified evidence, with the condition that would overturn its verdict.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12240"/>
      </w:tblPr>
      <w:tblGrid>
        <w:gridCol w:w="1811"/>
        <w:gridCol w:w="1550"/>
        <w:gridCol w:w="2008"/>
        <w:gridCol w:w="2248"/>
        <w:gridCol w:w="2263"/>
        <w:gridCol w:w="1205"/>
        <w:gridCol w:w="1155"/>
      </w:tblGrid>
      <w:tr>
        <w:tc>
          <w:tcPr>
            <w:tcW w:type="dxa" w:w="1234"/>
            <w:tcW w:type="dxa" w:w="1811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type="dxa" w:w="1234"/>
            <w:tcW w:type="dxa" w:w="1550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234"/>
            <w:tcW w:type="dxa" w:w="2008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What would change this verdict</w:t>
            </w:r>
          </w:p>
        </w:tc>
        <w:tc>
          <w:tcPr>
            <w:tcW w:type="dxa" w:w="1234"/>
            <w:tcW w:type="dxa" w:w="2248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1234"/>
            <w:tcW w:type="dxa" w:w="2263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 type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 established</w:t>
            </w:r>
          </w:p>
        </w:tc>
        <w:tc>
          <w:tcPr>
            <w:tcW w:type="dxa" w:w="1234"/>
            <w:tcW w:type="dxa" w:w="1155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constraints</w:t>
            </w:r>
          </w:p>
        </w:tc>
        <w:tc>
          <w:tcPr>
            <w:tcW w:type="dxa" w:w="1234"/>
            <w:tcW w:type="dxa" w:w="15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</w:t>
            </w:r>
          </w:p>
        </w:tc>
        <w:tc>
          <w:tcPr>
            <w:tcW w:type="dxa" w:w="1234"/>
            <w:tcW w:type="dxa" w:w="2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crisis-readiness funding was cut for financial reasons</w:t>
            </w:r>
          </w:p>
        </w:tc>
        <w:tc>
          <w:tcPr>
            <w:tcW w:type="dxa" w:w="1234"/>
            <w:tcW w:type="dxa" w:w="22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~$2.562B acquisition; audited growth 21.7 to 38.2 kb/d; capital available for production-directed spending; the 2022 collapse to ~4.9 kb/d followed the crisis and does not reopen capital</w:t>
            </w:r>
          </w:p>
        </w:tc>
        <w:tc>
          <w:tcPr>
            <w:tcW w:type="dxa" w:w="1234"/>
            <w:tcW w:type="dxa" w:w="2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4.3.1</w:t>
            </w:r>
          </w:p>
        </w:tc>
        <w:tc>
          <w:tcPr>
            <w:tcW w:type="dxa" w:w="1234"/>
            <w:tcW w:type="dxa" w:w="1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Fiscal regime effects</w:t>
            </w:r>
          </w:p>
        </w:tc>
        <w:tc>
          <w:tcPr>
            <w:tcW w:type="dxa" w:w="1234"/>
            <w:tcW w:type="dxa" w:w="15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for this case</w:t>
            </w:r>
          </w:p>
        </w:tc>
        <w:tc>
          <w:tcPr>
            <w:tcW w:type="dxa" w:w="1234"/>
            <w:tcW w:type="dxa" w:w="2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None; the timing is arithmetic</w:t>
            </w:r>
          </w:p>
        </w:tc>
        <w:tc>
          <w:tcPr>
            <w:tcW w:type="dxa" w:w="1234"/>
            <w:tcW w:type="dxa" w:w="22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Transaction closed 2015; PIA enacted 16 Aug 2021; the capability gap (undecommissioned well, 2018-19 spills) predates the Act</w:t>
            </w:r>
          </w:p>
        </w:tc>
        <w:tc>
          <w:tcPr>
            <w:tcW w:type="dxa" w:w="1234"/>
            <w:tcW w:type="dxa" w:w="2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4.3.2</w:t>
            </w:r>
          </w:p>
        </w:tc>
        <w:tc>
          <w:tcPr>
            <w:tcW w:type="dxa" w:w="1234"/>
            <w:tcW w:type="dxa" w:w="1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inadequacy</w:t>
            </w:r>
          </w:p>
        </w:tc>
        <w:tc>
          <w:tcPr>
            <w:tcW w:type="dxa" w:w="1234"/>
            <w:tcW w:type="dxa" w:w="15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enabling condition insufficient on its own</w:t>
            </w:r>
          </w:p>
        </w:tc>
        <w:tc>
          <w:tcPr>
            <w:tcW w:type="dxa" w:w="1234"/>
            <w:tcW w:type="dxa" w:w="2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the framework screened for capability and that Aiteo passed</w:t>
            </w:r>
          </w:p>
        </w:tc>
        <w:tc>
          <w:tcPr>
            <w:tcW w:type="dxa" w:w="1234"/>
            <w:tcW w:type="dxa" w:w="22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Section 29 specifies no capability criterion; NUPRC created a technical-capacity pillar in 2024, none before; same pre-2024 framework, different outcomes across operators</w:t>
            </w:r>
          </w:p>
        </w:tc>
        <w:tc>
          <w:tcPr>
            <w:tcW w:type="dxa" w:w="1234"/>
            <w:tcW w:type="dxa" w:w="2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Documentary/regulatory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4.3.3</w:t>
            </w:r>
          </w:p>
        </w:tc>
        <w:tc>
          <w:tcPr>
            <w:tcW w:type="dxa" w:w="1234"/>
            <w:tcW w:type="dxa" w:w="1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Political economy</w:t>
            </w:r>
          </w:p>
        </w:tc>
        <w:tc>
          <w:tcPr>
            <w:tcW w:type="dxa" w:w="1234"/>
            <w:tcW w:type="dxa" w:w="15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 for operational quality</w:t>
            </w:r>
          </w:p>
        </w:tc>
        <w:tc>
          <w:tcPr>
            <w:tcW w:type="dxa" w:w="1234"/>
            <w:tcW w:type="dxa" w:w="2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political interference directly caused the operational failure, beyond enabling commercial survival</w:t>
            </w:r>
          </w:p>
        </w:tc>
        <w:tc>
          <w:tcPr>
            <w:tcW w:type="dxa" w:w="1234"/>
            <w:tcW w:type="dxa" w:w="22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Connections could not have prevented or contained the blowout, which required well-control capability; may account for commercial survival only; board and shareholding data incomplete</w:t>
            </w:r>
          </w:p>
        </w:tc>
        <w:tc>
          <w:tcPr>
            <w:tcW w:type="dxa" w:w="1234"/>
            <w:tcW w:type="dxa" w:w="2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Non-substitutability logic; corporate registry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4.3.4</w:t>
            </w:r>
          </w:p>
        </w:tc>
        <w:tc>
          <w:tcPr>
            <w:tcW w:type="dxa" w:w="1234"/>
            <w:tcW w:type="dxa" w:w="1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Coordination failure</w:t>
            </w:r>
          </w:p>
        </w:tc>
        <w:tc>
          <w:tcPr>
            <w:tcW w:type="dxa" w:w="1234"/>
            <w:tcW w:type="dxa" w:w="155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independently caused</w:t>
            </w:r>
          </w:p>
        </w:tc>
        <w:tc>
          <w:tcPr>
            <w:tcW w:type="dxa" w:w="1234"/>
            <w:tcW w:type="dxa" w:w="20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of a specific coordination breakdown independent of knowledge absence</w:t>
            </w:r>
          </w:p>
        </w:tc>
        <w:tc>
          <w:tcPr>
            <w:tcW w:type="dxa" w:w="1234"/>
            <w:tcW w:type="dxa" w:w="224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Persistence at six years; domain-specific failure while routine production grew; unremediated 2018-19 incidents</w:t>
            </w:r>
          </w:p>
        </w:tc>
        <w:tc>
          <w:tcPr>
            <w:tcW w:type="dxa" w:w="1234"/>
            <w:tcW w:type="dxa" w:w="2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Audited/documentary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4.3.5</w:t>
            </w:r>
          </w:p>
        </w:tc>
        <w:tc>
          <w:tcPr>
            <w:tcW w:type="dxa" w:w="1234"/>
            <w:tcW w:type="dxa" w:w="1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Medium-High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Capability-related factors</w:t>
            </w:r>
          </w:p>
        </w:tc>
        <w:tc>
          <w:tcPr>
            <w:tcW w:type="dxa" w:w="1234"/>
            <w:tcW w:type="dxa" w:w="1550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Most consistent with the evidence for this case</w:t>
            </w:r>
          </w:p>
        </w:tc>
        <w:tc>
          <w:tcPr>
            <w:tcW w:type="dxa" w:w="1234"/>
            <w:tcW w:type="dxa" w:w="2008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operator without inherited upstream knowledge handling a comparable crisis successfully</w:t>
            </w:r>
          </w:p>
        </w:tc>
        <w:tc>
          <w:tcPr>
            <w:tcW w:type="dxa" w:w="1234"/>
            <w:tcW w:type="dxa" w:w="2248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Selective failure signature; containment failure of about a month, NOSDRA attributing the delay to a capacity deficit (official JIV cause was third-party interference, so the finding rests on containment, not cause); after-the-fact reliance on external well-control specialists; six-year persistence; no documentary evidence of structured knowledge-transfer provisions; the founder’s downstream-only background (secondary indicator)</w:t>
            </w:r>
          </w:p>
        </w:tc>
        <w:tc>
          <w:tcPr>
            <w:tcW w:type="dxa" w:w="1234"/>
            <w:tcW w:type="dxa" w:w="2263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Audited/regulatory; Tier B; corporate profile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4.3.6</w:t>
            </w:r>
          </w:p>
        </w:tc>
        <w:tc>
          <w:tcPr>
            <w:tcW w:type="dxa" w:w="1234"/>
            <w:tcW w:type="dxa" w:w="1155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</w:tbl>
    <w:p>
      <w:pPr>
        <w:sectPr>
          <w:pgSz w:w="15840" w:h="12240" w:orient="landscape"/>
          <w:pgMar w:top="1440" w:bottom="1440" w:left="1800" w:right="1800" w:header="720" w:footer="720" w:gutter="0"/>
        </w:sectPr>
      </w:pPr>
    </w:p>
    <w:bookmarkEnd w:id="20"/>
    <w:bookmarkStart w:id="21" w:name="eroton-oml-18"/>
    <w:p>
      <w:pPr>
        <w:pStyle w:val="Heading2"/>
        <w:sectPr>
          <w:pgSz w:w="12240" w:h="15840"/>
          <w:pgMar w:top="1440" w:bottom="1440" w:left="1800" w:right="1800" w:header="720" w:footer="720" w:gutter="0"/>
        </w:sectPr>
      </w:pPr>
      <w:r>
        <w:t xml:space="preserve">Eroton (OML 18)</w:t>
      </w:r>
    </w:p>
    <w:p>
      <w:pPr>
        <w:pStyle w:val="FirstParagraph"/>
      </w:pPr>
      <w:r>
        <w:rPr>
          <w:bCs/>
          <w:b/>
        </w:rPr>
        <w:t xml:space="preserve">Table E.2. Verdict matrix for the Eroton case (OML 18). Each explanation is assessed on its own pre-specified evidence, with the condition that would overturn its verdict.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12240"/>
      </w:tblPr>
      <w:tblGrid>
        <w:gridCol w:w="1772"/>
        <w:gridCol w:w="1473"/>
        <w:gridCol w:w="1966"/>
        <w:gridCol w:w="2606"/>
        <w:gridCol w:w="2193"/>
        <w:gridCol w:w="1176"/>
        <w:gridCol w:w="1054"/>
      </w:tblGrid>
      <w:tr>
        <w:tc>
          <w:tcPr>
            <w:tcW w:type="dxa" w:w="1234"/>
            <w:tcW w:type="dxa" w:w="1772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type="dxa" w:w="1234"/>
            <w:tcW w:type="dxa" w:w="1473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234"/>
            <w:tcW w:type="dxa" w:w="1966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What would change this verdict</w:t>
            </w:r>
          </w:p>
        </w:tc>
        <w:tc>
          <w:tcPr>
            <w:tcW w:type="dxa" w:w="1234"/>
            <w:tcW w:type="dxa" w:w="2606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1234"/>
            <w:tcW w:type="dxa" w:w="2193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 type</w:t>
            </w:r>
          </w:p>
        </w:tc>
        <w:tc>
          <w:tcPr>
            <w:tcW w:type="dxa" w:w="1234"/>
            <w:tcW w:type="dxa" w:w="1176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 established</w:t>
            </w:r>
          </w:p>
        </w:tc>
        <w:tc>
          <w:tcPr>
            <w:tcW w:type="dxa" w:w="1234"/>
            <w:tcW w:type="dxa" w:w="1054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1234"/>
            <w:tcW w:type="dxa" w:w="17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constraints</w:t>
            </w:r>
          </w:p>
        </w:tc>
        <w:tc>
          <w:tcPr>
            <w:tcW w:type="dxa" w:w="1234"/>
            <w:tcW w:type="dxa" w:w="14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</w:t>
            </w:r>
          </w:p>
        </w:tc>
        <w:tc>
          <w:tcPr>
            <w:tcW w:type="dxa" w:w="1234"/>
            <w:tcW w:type="dxa" w:w="196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the JV was underfunded during the decline and the funding statement was inaccurate</w:t>
            </w:r>
          </w:p>
        </w:tc>
        <w:tc>
          <w:tcPr>
            <w:tcW w:type="dxa" w:w="1234"/>
            <w:tcW w:type="dxa" w:w="260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~$1.1-1.2B acquisition; reported gross output ~39-45 kb/d before losses shows capital available for production-directed spending; NNPC stated JV partners met funding obligations through the decline; unpaid taxes indicate liquidity or governance stress, not JV capital scarcity; Eroton’s rebuttal did not contest funding</w:t>
            </w:r>
          </w:p>
        </w:tc>
        <w:tc>
          <w:tcPr>
            <w:tcW w:type="dxa" w:w="1234"/>
            <w:tcW w:type="dxa" w:w="21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Audited; regulatory statement</w:t>
            </w:r>
          </w:p>
        </w:tc>
        <w:tc>
          <w:tcPr>
            <w:tcW w:type="dxa" w:w="1234"/>
            <w:tcW w:type="dxa" w:w="11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4.4.1</w:t>
            </w:r>
          </w:p>
        </w:tc>
        <w:tc>
          <w:tcPr>
            <w:tcW w:type="dxa" w:w="1234"/>
            <w:tcW w:type="dxa" w:w="10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7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Fiscal regime effects</w:t>
            </w:r>
          </w:p>
        </w:tc>
        <w:tc>
          <w:tcPr>
            <w:tcW w:type="dxa" w:w="1234"/>
            <w:tcW w:type="dxa" w:w="14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for this case</w:t>
            </w:r>
          </w:p>
        </w:tc>
        <w:tc>
          <w:tcPr>
            <w:tcW w:type="dxa" w:w="1234"/>
            <w:tcW w:type="dxa" w:w="196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None; the conditions predate the Act</w:t>
            </w:r>
          </w:p>
        </w:tc>
        <w:tc>
          <w:tcPr>
            <w:tcW w:type="dxa" w:w="1234"/>
            <w:tcW w:type="dxa" w:w="260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Acquired March 2015; PIA enacted 16 Aug 2021; the collapse predates the Act</w:t>
            </w:r>
          </w:p>
        </w:tc>
        <w:tc>
          <w:tcPr>
            <w:tcW w:type="dxa" w:w="1234"/>
            <w:tcW w:type="dxa" w:w="21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1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4.4.1</w:t>
            </w:r>
          </w:p>
        </w:tc>
        <w:tc>
          <w:tcPr>
            <w:tcW w:type="dxa" w:w="1234"/>
            <w:tcW w:type="dxa" w:w="10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7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inadequacy</w:t>
            </w:r>
          </w:p>
        </w:tc>
        <w:tc>
          <w:tcPr>
            <w:tcW w:type="dxa" w:w="1234"/>
            <w:tcW w:type="dxa" w:w="14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enabling condition insufficient on its own</w:t>
            </w:r>
          </w:p>
        </w:tc>
        <w:tc>
          <w:tcPr>
            <w:tcW w:type="dxa" w:w="1234"/>
            <w:tcW w:type="dxa" w:w="196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the framework screened buyer capability and Eroton passed</w:t>
            </w:r>
          </w:p>
        </w:tc>
        <w:tc>
          <w:tcPr>
            <w:tcW w:type="dxa" w:w="1234"/>
            <w:tcW w:type="dxa" w:w="260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Same pre-2024 framework as Aiteo; screened no operational or organizational capability at transfer; cannot explain Eroton’s specific collapse</w:t>
            </w:r>
          </w:p>
        </w:tc>
        <w:tc>
          <w:tcPr>
            <w:tcW w:type="dxa" w:w="1234"/>
            <w:tcW w:type="dxa" w:w="21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Documentary/regulatory</w:t>
            </w:r>
          </w:p>
        </w:tc>
        <w:tc>
          <w:tcPr>
            <w:tcW w:type="dxa" w:w="1234"/>
            <w:tcW w:type="dxa" w:w="11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4.4.1</w:t>
            </w:r>
          </w:p>
        </w:tc>
        <w:tc>
          <w:tcPr>
            <w:tcW w:type="dxa" w:w="1234"/>
            <w:tcW w:type="dxa" w:w="10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7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Political economy</w:t>
            </w:r>
          </w:p>
        </w:tc>
        <w:tc>
          <w:tcPr>
            <w:tcW w:type="dxa" w:w="1234"/>
            <w:tcW w:type="dxa" w:w="14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 for operational quality</w:t>
            </w:r>
          </w:p>
        </w:tc>
        <w:tc>
          <w:tcPr>
            <w:tcW w:type="dxa" w:w="1234"/>
            <w:tcW w:type="dxa" w:w="196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Direct evidence that political access shaped the operational failure, beyond commercial or regulatory standing</w:t>
            </w:r>
          </w:p>
        </w:tc>
        <w:tc>
          <w:tcPr>
            <w:tcW w:type="dxa" w:w="1234"/>
            <w:tcW w:type="dxa" w:w="260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Consortium background was business-development and financial (Midwestern, Mart, Suntrust), not upstream technical; connections could not supply capability to execute the approved barge plan or meet fiscal obligations; board and shareholding detail incomplete</w:t>
            </w:r>
          </w:p>
        </w:tc>
        <w:tc>
          <w:tcPr>
            <w:tcW w:type="dxa" w:w="1234"/>
            <w:tcW w:type="dxa" w:w="21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Corporate profile; non-substitutability logic</w:t>
            </w:r>
          </w:p>
        </w:tc>
        <w:tc>
          <w:tcPr>
            <w:tcW w:type="dxa" w:w="1234"/>
            <w:tcW w:type="dxa" w:w="11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4.4.1</w:t>
            </w:r>
          </w:p>
        </w:tc>
        <w:tc>
          <w:tcPr>
            <w:tcW w:type="dxa" w:w="1234"/>
            <w:tcW w:type="dxa" w:w="10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Low-Medium</w:t>
            </w:r>
          </w:p>
        </w:tc>
      </w:tr>
      <w:tr>
        <w:tc>
          <w:tcPr>
            <w:tcW w:type="dxa" w:w="1234"/>
            <w:tcW w:type="dxa" w:w="177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Coordination failure</w:t>
            </w:r>
          </w:p>
        </w:tc>
        <w:tc>
          <w:tcPr>
            <w:tcW w:type="dxa" w:w="1234"/>
            <w:tcW w:type="dxa" w:w="14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independently caused</w:t>
            </w:r>
          </w:p>
        </w:tc>
        <w:tc>
          <w:tcPr>
            <w:tcW w:type="dxa" w:w="1234"/>
            <w:tcW w:type="dxa" w:w="196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of a specific transition-period coordination breakdown independent of capability</w:t>
            </w:r>
          </w:p>
        </w:tc>
        <w:tc>
          <w:tcPr>
            <w:tcW w:type="dxa" w:w="1234"/>
            <w:tcW w:type="dxa" w:w="260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Collapse at 6 to 8 years, well beyond a short transition period; operator stabilized before failing; failure shape (delivery collapse) differs from Aiteo’s domain-specific pattern, so persistence carries the inference</w:t>
            </w:r>
          </w:p>
        </w:tc>
        <w:tc>
          <w:tcPr>
            <w:tcW w:type="dxa" w:w="1234"/>
            <w:tcW w:type="dxa" w:w="21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Audited/documentary</w:t>
            </w:r>
          </w:p>
        </w:tc>
        <w:tc>
          <w:tcPr>
            <w:tcW w:type="dxa" w:w="1234"/>
            <w:tcW w:type="dxa" w:w="11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4.4.1</w:t>
            </w:r>
          </w:p>
        </w:tc>
        <w:tc>
          <w:tcPr>
            <w:tcW w:type="dxa" w:w="1234"/>
            <w:tcW w:type="dxa" w:w="10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772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Capability-related factors</w:t>
            </w:r>
          </w:p>
        </w:tc>
        <w:tc>
          <w:tcPr>
            <w:tcW w:type="dxa" w:w="1234"/>
            <w:tcW w:type="dxa" w:w="1473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Consistent but not decisive for this case</w:t>
            </w:r>
          </w:p>
        </w:tc>
        <w:tc>
          <w:tcPr>
            <w:tcW w:type="dxa" w:w="1234"/>
            <w:tcW w:type="dxa" w:w="1966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The internal organizational failures shown attributable to capital, liquidity, or political dynamics instead of capability</w:t>
            </w:r>
          </w:p>
        </w:tc>
        <w:tc>
          <w:tcPr>
            <w:tcW w:type="dxa" w:w="1234"/>
            <w:tcW w:type="dxa" w:w="2606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Internal pathway (FIRS office sealing 12+ months, NNPC forensic governance findings, unexecuted approved barge evacuation) consistent with an organizational-capability gap; the external NCTL force majeure, structurally theft-driven and inherited from the seller, is the common environment every line user faced and confounds the attribution rather than supporting it; consortium business-development background a secondary indicator</w:t>
            </w:r>
          </w:p>
        </w:tc>
        <w:tc>
          <w:tcPr>
            <w:tcW w:type="dxa" w:w="1234"/>
            <w:tcW w:type="dxa" w:w="2193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Audited/documentary; corporate profile; Tier B</w:t>
            </w:r>
          </w:p>
        </w:tc>
        <w:tc>
          <w:tcPr>
            <w:tcW w:type="dxa" w:w="1234"/>
            <w:tcW w:type="dxa" w:w="1176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4.4.1</w:t>
            </w:r>
          </w:p>
        </w:tc>
        <w:tc>
          <w:tcPr>
            <w:tcW w:type="dxa" w:w="1234"/>
            <w:tcW w:type="dxa" w:w="1054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Medium-Low</w:t>
            </w:r>
          </w:p>
        </w:tc>
      </w:tr>
    </w:tbl>
    <w:p>
      <w:pPr>
        <w:sectPr>
          <w:pgSz w:w="15840" w:h="12240" w:orient="landscape"/>
          <w:pgMar w:top="1440" w:bottom="1440" w:left="1800" w:right="1800" w:header="720" w:footer="720" w:gutter="0"/>
        </w:sectPr>
      </w:pPr>
    </w:p>
    <w:bookmarkEnd w:id="21"/>
    <w:bookmarkStart w:id="22" w:name="first-hydrocarbon-oml-26"/>
    <w:p>
      <w:pPr>
        <w:pStyle w:val="Heading2"/>
        <w:sectPr>
          <w:pgSz w:w="12240" w:h="15840"/>
          <w:pgMar w:top="1440" w:bottom="1440" w:left="1800" w:right="1800" w:header="720" w:footer="720" w:gutter="0"/>
        </w:sectPr>
      </w:pPr>
      <w:r>
        <w:t xml:space="preserve">First Hydrocarbon (OML 26)</w:t>
      </w:r>
    </w:p>
    <w:p>
      <w:pPr>
        <w:pStyle w:val="FirstParagraph"/>
      </w:pPr>
      <w:r>
        <w:rPr>
          <w:bCs/>
          <w:b/>
        </w:rPr>
        <w:t xml:space="preserve">Table E.3. Verdict matrix for the First Hydrocarbon case (OML 26). Each explanation is assessed on its own pre-specified evidence, with the condition that would overturn its verdict.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12240"/>
      </w:tblPr>
      <w:tblGrid>
        <w:gridCol w:w="1833"/>
        <w:gridCol w:w="1719"/>
        <w:gridCol w:w="1676"/>
        <w:gridCol w:w="2236"/>
        <w:gridCol w:w="2390"/>
        <w:gridCol w:w="1221"/>
        <w:gridCol w:w="1165"/>
      </w:tblGrid>
      <w:tr>
        <w:tc>
          <w:tcPr>
            <w:tcW w:type="dxa" w:w="1234"/>
            <w:tcW w:type="dxa" w:w="1833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type="dxa" w:w="1234"/>
            <w:tcW w:type="dxa" w:w="1719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234"/>
            <w:tcW w:type="dxa" w:w="1676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What would change this verdict</w:t>
            </w:r>
          </w:p>
        </w:tc>
        <w:tc>
          <w:tcPr>
            <w:tcW w:type="dxa" w:w="1234"/>
            <w:tcW w:type="dxa" w:w="2236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1234"/>
            <w:tcW w:type="dxa" w:w="2390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 type</w:t>
            </w:r>
          </w:p>
        </w:tc>
        <w:tc>
          <w:tcPr>
            <w:tcW w:type="dxa" w:w="1234"/>
            <w:tcW w:type="dxa" w:w="1221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 established</w:t>
            </w:r>
          </w:p>
        </w:tc>
        <w:tc>
          <w:tcPr>
            <w:tcW w:type="dxa" w:w="1234"/>
            <w:tcW w:type="dxa" w:w="1165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1234"/>
            <w:tcW w:type="dxa" w:w="18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constraints</w:t>
            </w:r>
          </w:p>
        </w:tc>
        <w:tc>
          <w:tcPr>
            <w:tcW w:type="dxa" w:w="1234"/>
            <w:tcW w:type="dxa" w:w="17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</w:t>
            </w:r>
          </w:p>
        </w:tc>
        <w:tc>
          <w:tcPr>
            <w:tcW w:type="dxa" w:w="1234"/>
            <w:tcW w:type="dxa" w:w="16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a funding shortage, ahead of the fraud and collapse, drove the failure</w:t>
            </w:r>
          </w:p>
        </w:tc>
        <w:tc>
          <w:tcPr>
            <w:tcW w:type="dxa" w:w="1234"/>
            <w:tcW w:type="dxa" w:w="22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Afren a ~$2.6B FTSE 250 company; FHN funded by $280M facilities; the failure was governance fraud, not funding scarcity</w:t>
            </w:r>
          </w:p>
        </w:tc>
        <w:tc>
          <w:tcPr>
            <w:tcW w:type="dxa" w:w="1234"/>
            <w:tcW w:type="dxa" w:w="23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Corporate/financial record; UK criminal record</w:t>
            </w:r>
          </w:p>
        </w:tc>
        <w:tc>
          <w:tcPr>
            <w:tcW w:type="dxa" w:w="1234"/>
            <w:tcW w:type="dxa" w:w="122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4.4.2</w:t>
            </w:r>
          </w:p>
        </w:tc>
        <w:tc>
          <w:tcPr>
            <w:tcW w:type="dxa" w:w="1234"/>
            <w:tcW w:type="dxa" w:w="11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Fiscal regime effects</w:t>
            </w:r>
          </w:p>
        </w:tc>
        <w:tc>
          <w:tcPr>
            <w:tcW w:type="dxa" w:w="1234"/>
            <w:tcW w:type="dxa" w:w="17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for this case</w:t>
            </w:r>
          </w:p>
        </w:tc>
        <w:tc>
          <w:tcPr>
            <w:tcW w:type="dxa" w:w="1234"/>
            <w:tcW w:type="dxa" w:w="16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None; the timing is arithmetic</w:t>
            </w:r>
          </w:p>
        </w:tc>
        <w:tc>
          <w:tcPr>
            <w:tcW w:type="dxa" w:w="1234"/>
            <w:tcW w:type="dxa" w:w="22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Agreement Oct 2010, completion 2011; Afren’s collapse in 2015 and the fraud predate the PIA</w:t>
            </w:r>
          </w:p>
        </w:tc>
        <w:tc>
          <w:tcPr>
            <w:tcW w:type="dxa" w:w="1234"/>
            <w:tcW w:type="dxa" w:w="23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22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4.4.2</w:t>
            </w:r>
          </w:p>
        </w:tc>
        <w:tc>
          <w:tcPr>
            <w:tcW w:type="dxa" w:w="1234"/>
            <w:tcW w:type="dxa" w:w="11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inadequacy</w:t>
            </w:r>
          </w:p>
        </w:tc>
        <w:tc>
          <w:tcPr>
            <w:tcW w:type="dxa" w:w="1234"/>
            <w:tcW w:type="dxa" w:w="17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enabling condition insufficient on its own, most directly evidenced here</w:t>
            </w:r>
          </w:p>
        </w:tc>
        <w:tc>
          <w:tcPr>
            <w:tcW w:type="dxa" w:w="1234"/>
            <w:tcW w:type="dxa" w:w="16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the framework screened buyer fitness and that Afren passed a substantive test</w:t>
            </w:r>
          </w:p>
        </w:tc>
        <w:tc>
          <w:tcPr>
            <w:tcW w:type="dxa" w:w="1234"/>
            <w:tcW w:type="dxa" w:w="22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Section 29 required ministerial consent but no fitness, capability, or governance test; the framework approved a buyer without an explicit governance-fitness test; subsequent fraud convictions and administration show why buyer integrity mattered</w:t>
            </w:r>
          </w:p>
        </w:tc>
        <w:tc>
          <w:tcPr>
            <w:tcW w:type="dxa" w:w="1234"/>
            <w:tcW w:type="dxa" w:w="23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Documentary/regulatory; UK SFO and court record</w:t>
            </w:r>
          </w:p>
        </w:tc>
        <w:tc>
          <w:tcPr>
            <w:tcW w:type="dxa" w:w="1234"/>
            <w:tcW w:type="dxa" w:w="122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4.4.2</w:t>
            </w:r>
          </w:p>
        </w:tc>
        <w:tc>
          <w:tcPr>
            <w:tcW w:type="dxa" w:w="1234"/>
            <w:tcW w:type="dxa" w:w="11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Medium-High</w:t>
            </w:r>
          </w:p>
        </w:tc>
      </w:tr>
      <w:tr>
        <w:tc>
          <w:tcPr>
            <w:tcW w:type="dxa" w:w="1234"/>
            <w:tcW w:type="dxa" w:w="18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Political economy</w:t>
            </w:r>
          </w:p>
        </w:tc>
        <w:tc>
          <w:tcPr>
            <w:tcW w:type="dxa" w:w="1234"/>
            <w:tcW w:type="dxa" w:w="17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 for this case</w:t>
            </w:r>
          </w:p>
        </w:tc>
        <w:tc>
          <w:tcPr>
            <w:tcW w:type="dxa" w:w="1234"/>
            <w:tcW w:type="dxa" w:w="16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applicable; explanation not tested</w:t>
            </w:r>
          </w:p>
        </w:tc>
        <w:tc>
          <w:tcPr>
            <w:tcW w:type="dxa" w:w="1234"/>
            <w:tcW w:type="dxa" w:w="22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The buyer was non-operating and the sponsor’s fraud dominates the trajectory; the relevant state dynamic (NPDC’s first-refusal operatorship) concerns the operator and is examined with NPDC</w:t>
            </w:r>
          </w:p>
        </w:tc>
        <w:tc>
          <w:tcPr>
            <w:tcW w:type="dxa" w:w="1234"/>
            <w:tcW w:type="dxa" w:w="23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State-operator record; non-test</w:t>
            </w:r>
          </w:p>
        </w:tc>
        <w:tc>
          <w:tcPr>
            <w:tcW w:type="dxa" w:w="1234"/>
            <w:tcW w:type="dxa" w:w="122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4.4.2</w:t>
            </w:r>
          </w:p>
        </w:tc>
        <w:tc>
          <w:tcPr>
            <w:tcW w:type="dxa" w:w="1234"/>
            <w:tcW w:type="dxa" w:w="11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</w:t>
            </w:r>
          </w:p>
        </w:tc>
      </w:tr>
      <w:tr>
        <w:tc>
          <w:tcPr>
            <w:tcW w:type="dxa" w:w="1234"/>
            <w:tcW w:type="dxa" w:w="183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Coordination failure</w:t>
            </w:r>
          </w:p>
        </w:tc>
        <w:tc>
          <w:tcPr>
            <w:tcW w:type="dxa" w:w="1234"/>
            <w:tcW w:type="dxa" w:w="1719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 for this case</w:t>
            </w:r>
          </w:p>
        </w:tc>
        <w:tc>
          <w:tcPr>
            <w:tcW w:type="dxa" w:w="1234"/>
            <w:tcW w:type="dxa" w:w="167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applicable; explanation not tested</w:t>
            </w:r>
          </w:p>
        </w:tc>
        <w:tc>
          <w:tcPr>
            <w:tcW w:type="dxa" w:w="1234"/>
            <w:tcW w:type="dxa" w:w="223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Non-operating structure; joint asset-management team formed only in 2016; organizational features, not a tested transition breakdown</w:t>
            </w:r>
          </w:p>
        </w:tc>
        <w:tc>
          <w:tcPr>
            <w:tcW w:type="dxa" w:w="1234"/>
            <w:tcW w:type="dxa" w:w="23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22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4.4.2</w:t>
            </w:r>
          </w:p>
        </w:tc>
        <w:tc>
          <w:tcPr>
            <w:tcW w:type="dxa" w:w="1234"/>
            <w:tcW w:type="dxa" w:w="116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</w:t>
            </w:r>
          </w:p>
        </w:tc>
      </w:tr>
      <w:tr>
        <w:tc>
          <w:tcPr>
            <w:tcW w:type="dxa" w:w="1234"/>
            <w:tcW w:type="dxa" w:w="1833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Capability-related factors</w:t>
            </w:r>
          </w:p>
        </w:tc>
        <w:tc>
          <w:tcPr>
            <w:tcW w:type="dxa" w:w="1234"/>
            <w:tcW w:type="dxa" w:w="1719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 for this case</w:t>
            </w:r>
          </w:p>
        </w:tc>
        <w:tc>
          <w:tcPr>
            <w:tcW w:type="dxa" w:w="1234"/>
            <w:tcW w:type="dxa" w:w="1676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applicable; explanation not tested</w:t>
            </w:r>
          </w:p>
        </w:tc>
        <w:tc>
          <w:tcPr>
            <w:tcW w:type="dxa" w:w="1234"/>
            <w:tcW w:type="dxa" w:w="2236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The buyer did not operate the asset (NPDC operated) and failed through governance fraud rather than an operational event, so inherited operational capability cannot be assessed</w:t>
            </w:r>
          </w:p>
        </w:tc>
        <w:tc>
          <w:tcPr>
            <w:tcW w:type="dxa" w:w="1234"/>
            <w:tcW w:type="dxa" w:w="2390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Non-test (structural)</w:t>
            </w:r>
          </w:p>
        </w:tc>
        <w:tc>
          <w:tcPr>
            <w:tcW w:type="dxa" w:w="1234"/>
            <w:tcW w:type="dxa" w:w="1221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4.4.2</w:t>
            </w:r>
          </w:p>
        </w:tc>
        <w:tc>
          <w:tcPr>
            <w:tcW w:type="dxa" w:w="1234"/>
            <w:tcW w:type="dxa" w:w="1165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</w:t>
            </w:r>
          </w:p>
        </w:tc>
      </w:tr>
    </w:tbl>
    <w:p>
      <w:pPr>
        <w:sectPr>
          <w:pgSz w:w="15840" w:h="12240" w:orient="landscape"/>
          <w:pgMar w:top="1440" w:bottom="1440" w:left="1800" w:right="1800" w:header="720" w:footer="720" w:gutter="0"/>
        </w:sectPr>
      </w:pPr>
    </w:p>
    <w:bookmarkEnd w:id="22"/>
    <w:bookmarkStart w:id="23" w:name="seplat-omls-4-38-41"/>
    <w:p>
      <w:pPr>
        <w:pStyle w:val="Heading2"/>
        <w:sectPr>
          <w:pgSz w:w="12240" w:h="15840"/>
          <w:pgMar w:top="1440" w:bottom="1440" w:left="1800" w:right="1800" w:header="720" w:footer="720" w:gutter="0"/>
        </w:sectPr>
      </w:pPr>
      <w:r>
        <w:t xml:space="preserve">Seplat (OMLs 4, 38, 41)</w:t>
      </w:r>
    </w:p>
    <w:p>
      <w:pPr>
        <w:pStyle w:val="FirstParagraph"/>
      </w:pPr>
      <w:r>
        <w:rPr>
          <w:bCs/>
          <w:b/>
        </w:rPr>
        <w:t xml:space="preserve">Table E.4. Verdict matrix for the Seplat case (OMLs 4/38/41). Each explanation is assessed on its own pre-specified evidence, with the condition that would overturn its verdict.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12240"/>
      </w:tblPr>
      <w:tblGrid>
        <w:gridCol w:w="1891"/>
        <w:gridCol w:w="1614"/>
        <w:gridCol w:w="1934"/>
        <w:gridCol w:w="1934"/>
        <w:gridCol w:w="2414"/>
        <w:gridCol w:w="1263"/>
        <w:gridCol w:w="1190"/>
      </w:tblGrid>
      <w:tr>
        <w:tc>
          <w:tcPr>
            <w:tcW w:type="dxa" w:w="1234"/>
            <w:tcW w:type="dxa" w:w="1891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type="dxa" w:w="1234"/>
            <w:tcW w:type="dxa" w:w="1614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What would change this verdict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1234"/>
            <w:tcW w:type="dxa" w:w="2414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 type</w:t>
            </w:r>
          </w:p>
        </w:tc>
        <w:tc>
          <w:tcPr>
            <w:tcW w:type="dxa" w:w="1234"/>
            <w:tcW w:type="dxa" w:w="1263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 established</w:t>
            </w:r>
          </w:p>
        </w:tc>
        <w:tc>
          <w:tcPr>
            <w:tcW w:type="dxa" w:w="1234"/>
            <w:tcW w:type="dxa" w:w="1190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1234"/>
            <w:tcW w:type="dxa" w:w="189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constraints</w:t>
            </w:r>
          </w:p>
        </w:tc>
        <w:tc>
          <w:tcPr>
            <w:tcW w:type="dxa" w:w="1234"/>
            <w:tcW w:type="dxa" w:w="16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Seplat’s outcome rested on a capital advantage the failed operators lacked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was present across both success and failure; the failed operators executed larger transactions still (Aiteo ~$2.562B, Eroton ~$1.1-1.2B, against Seplat’s ~$340M), so Seplat’s outcome cannot rest on a funding condition the failures lacked</w:t>
            </w:r>
          </w:p>
        </w:tc>
        <w:tc>
          <w:tcPr>
            <w:tcW w:type="dxa" w:w="1234"/>
            <w:tcW w:type="dxa" w:w="24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Corporate/financial record</w:t>
            </w:r>
          </w:p>
        </w:tc>
        <w:tc>
          <w:tcPr>
            <w:tcW w:type="dxa" w:w="1234"/>
            <w:tcW w:type="dxa" w:w="1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4.5.1</w:t>
            </w:r>
          </w:p>
        </w:tc>
        <w:tc>
          <w:tcPr>
            <w:tcW w:type="dxa" w:w="1234"/>
            <w:tcW w:type="dxa" w:w="11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9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Fiscal regime effects</w:t>
            </w:r>
          </w:p>
        </w:tc>
        <w:tc>
          <w:tcPr>
            <w:tcW w:type="dxa" w:w="1234"/>
            <w:tcW w:type="dxa" w:w="16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for this case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of a fiscal treatment specific to Seplat that drove the outcome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Acquired 2010 and grew under the same pre-PIA regime as the failures</w:t>
            </w:r>
          </w:p>
        </w:tc>
        <w:tc>
          <w:tcPr>
            <w:tcW w:type="dxa" w:w="1234"/>
            <w:tcW w:type="dxa" w:w="24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4.5.1</w:t>
            </w:r>
          </w:p>
        </w:tc>
        <w:tc>
          <w:tcPr>
            <w:tcW w:type="dxa" w:w="1234"/>
            <w:tcW w:type="dxa" w:w="11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9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inadequacy</w:t>
            </w:r>
          </w:p>
        </w:tc>
        <w:tc>
          <w:tcPr>
            <w:tcW w:type="dxa" w:w="1234"/>
            <w:tcW w:type="dxa" w:w="16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enabling condition insufficient on its own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Seplat faced a materially different regulatory regime or screen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Same pre-2024 framework as Aiteo and Eroton; a regime common to growth and collapse cannot explain divergence</w:t>
            </w:r>
          </w:p>
        </w:tc>
        <w:tc>
          <w:tcPr>
            <w:tcW w:type="dxa" w:w="1234"/>
            <w:tcW w:type="dxa" w:w="24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Documentary/regulatory</w:t>
            </w:r>
          </w:p>
        </w:tc>
        <w:tc>
          <w:tcPr>
            <w:tcW w:type="dxa" w:w="1234"/>
            <w:tcW w:type="dxa" w:w="1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4.5.1</w:t>
            </w:r>
          </w:p>
        </w:tc>
        <w:tc>
          <w:tcPr>
            <w:tcW w:type="dxa" w:w="1234"/>
            <w:tcW w:type="dxa" w:w="11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89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Political economy</w:t>
            </w:r>
          </w:p>
        </w:tc>
        <w:tc>
          <w:tcPr>
            <w:tcW w:type="dxa" w:w="1234"/>
            <w:tcW w:type="dxa" w:w="16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 for operational quality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Direct evidence that political connections, ahead of capability, produced the operational outcome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Sustained production and 11M+ man-hours without a lost-time injury rest on technical capability, which political access cannot supply</w:t>
            </w:r>
          </w:p>
        </w:tc>
        <w:tc>
          <w:tcPr>
            <w:tcW w:type="dxa" w:w="1234"/>
            <w:tcW w:type="dxa" w:w="24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Non-substitutability logic; corporate profile</w:t>
            </w:r>
          </w:p>
        </w:tc>
        <w:tc>
          <w:tcPr>
            <w:tcW w:type="dxa" w:w="1234"/>
            <w:tcW w:type="dxa" w:w="1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4.5.1</w:t>
            </w:r>
          </w:p>
        </w:tc>
        <w:tc>
          <w:tcPr>
            <w:tcW w:type="dxa" w:w="1234"/>
            <w:tcW w:type="dxa" w:w="11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89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Coordination failure</w:t>
            </w:r>
          </w:p>
        </w:tc>
        <w:tc>
          <w:tcPr>
            <w:tcW w:type="dxa" w:w="1234"/>
            <w:tcW w:type="dxa" w:w="16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 for this case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applicable; explanation not tested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 operational failure occurred to which a transition coordination breakdown could be attributed</w:t>
            </w:r>
          </w:p>
        </w:tc>
        <w:tc>
          <w:tcPr>
            <w:tcW w:type="dxa" w:w="1234"/>
            <w:tcW w:type="dxa" w:w="241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Non-test (no failure)</w:t>
            </w:r>
          </w:p>
        </w:tc>
        <w:tc>
          <w:tcPr>
            <w:tcW w:type="dxa" w:w="1234"/>
            <w:tcW w:type="dxa" w:w="126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4.5.1</w:t>
            </w:r>
          </w:p>
        </w:tc>
        <w:tc>
          <w:tcPr>
            <w:tcW w:type="dxa" w:w="1234"/>
            <w:tcW w:type="dxa" w:w="119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</w:t>
            </w:r>
          </w:p>
        </w:tc>
      </w:tr>
      <w:tr>
        <w:tc>
          <w:tcPr>
            <w:tcW w:type="dxa" w:w="1234"/>
            <w:tcW w:type="dxa" w:w="1891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Capability-related factors</w:t>
            </w:r>
          </w:p>
        </w:tc>
        <w:tc>
          <w:tcPr>
            <w:tcW w:type="dxa" w:w="1234"/>
            <w:tcW w:type="dxa" w:w="1614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Most consistent with the evidence for this case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operator with comparable inherited capability failing under the same conditions</w:t>
            </w:r>
          </w:p>
        </w:tc>
        <w:tc>
          <w:tcPr>
            <w:tcW w:type="dxa" w:w="1234"/>
            <w:tcW w:type="dxa" w:w="1934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Founding team (Avuru, three decades of petroleum engineering) plus the Maurel et Prom partnership supplied absorptive capacity; metered 42.3 kb/d; integrity record; pattern recurs on a non-Shell asset (MPNU 2024)</w:t>
            </w:r>
          </w:p>
        </w:tc>
        <w:tc>
          <w:tcPr>
            <w:tcW w:type="dxa" w:w="1234"/>
            <w:tcW w:type="dxa" w:w="2414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Audited; corporate profile; safety/award record</w:t>
            </w:r>
          </w:p>
        </w:tc>
        <w:tc>
          <w:tcPr>
            <w:tcW w:type="dxa" w:w="1234"/>
            <w:tcW w:type="dxa" w:w="1263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4.5.1</w:t>
            </w:r>
          </w:p>
        </w:tc>
        <w:tc>
          <w:tcPr>
            <w:tcW w:type="dxa" w:w="1234"/>
            <w:tcW w:type="dxa" w:w="1190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Medium-High</w:t>
            </w:r>
          </w:p>
        </w:tc>
      </w:tr>
    </w:tbl>
    <w:p>
      <w:pPr>
        <w:sectPr>
          <w:pgSz w:w="15840" w:h="12240" w:orient="landscape"/>
          <w:pgMar w:top="1440" w:bottom="1440" w:left="1800" w:right="1800" w:header="720" w:footer="720" w:gutter="0"/>
        </w:sectPr>
      </w:pPr>
    </w:p>
    <w:bookmarkEnd w:id="23"/>
    <w:bookmarkStart w:id="24" w:name="oml-30-within-asset-operator-change"/>
    <w:p>
      <w:pPr>
        <w:pStyle w:val="Heading2"/>
        <w:sectPr>
          <w:pgSz w:w="12240" w:h="15840"/>
          <w:pgMar w:top="1440" w:bottom="1440" w:left="1800" w:right="1800" w:header="720" w:footer="720" w:gutter="0"/>
        </w:sectPr>
      </w:pPr>
      <w:r>
        <w:t xml:space="preserve">OML 30: Within-Asset Operator Change</w:t>
      </w:r>
    </w:p>
    <w:p>
      <w:pPr>
        <w:pStyle w:val="FirstParagraph"/>
      </w:pPr>
      <w:r>
        <w:rPr>
          <w:bCs/>
          <w:b/>
        </w:rPr>
        <w:t xml:space="preserve">Table E.5. Verdict matrix for the OML 30 within-asset operator change. Each explanation is assessed on its own pre-specified evidence, with the condition that would overturn its verdict.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12240"/>
      </w:tblPr>
      <w:tblGrid>
        <w:gridCol w:w="1851"/>
        <w:gridCol w:w="1542"/>
        <w:gridCol w:w="1810"/>
        <w:gridCol w:w="2210"/>
        <w:gridCol w:w="2422"/>
        <w:gridCol w:w="1234"/>
        <w:gridCol w:w="1171"/>
      </w:tblGrid>
      <w:tr>
        <w:tc>
          <w:tcPr>
            <w:tcW w:type="dxa" w:w="1234"/>
            <w:tcW w:type="dxa" w:w="1851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type="dxa" w:w="1234"/>
            <w:tcW w:type="dxa" w:w="1542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234"/>
            <w:tcW w:type="dxa" w:w="1810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What would change this verdict</w:t>
            </w:r>
          </w:p>
        </w:tc>
        <w:tc>
          <w:tcPr>
            <w:tcW w:type="dxa" w:w="1234"/>
            <w:tcW w:type="dxa" w:w="2210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1234"/>
            <w:tcW w:type="dxa" w:w="2422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 type</w:t>
            </w:r>
          </w:p>
        </w:tc>
        <w:tc>
          <w:tcPr>
            <w:tcW w:type="dxa" w:w="1234"/>
            <w:tcW w:type="dxa" w:w="1234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 established</w:t>
            </w:r>
          </w:p>
        </w:tc>
        <w:tc>
          <w:tcPr>
            <w:tcW w:type="dxa" w:w="1234"/>
            <w:tcW w:type="dxa" w:w="1171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1234"/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constraints</w:t>
            </w:r>
          </w:p>
        </w:tc>
        <w:tc>
          <w:tcPr>
            <w:tcW w:type="dxa" w:w="1234"/>
            <w:tcW w:type="dxa" w:w="1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</w:t>
            </w:r>
          </w:p>
        </w:tc>
        <w:tc>
          <w:tcPr>
            <w:tcW w:type="dxa" w:w="1234"/>
            <w:tcW w:type="dxa" w:w="18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new capital expenditure, ahead of the operator change, produced the recovery</w:t>
            </w:r>
          </w:p>
        </w:tc>
        <w:tc>
          <w:tcPr>
            <w:tcW w:type="dxa" w:w="1234"/>
            <w:tcW w:type="dxa" w:w="22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was present across the transition; the recovery came without drilling new wells on an unchanged physical asset, so new-drilling capital did not produce the increase; the remaining contrast turns on how the existing assets and rehabilitation spending were managed</w:t>
            </w:r>
          </w:p>
        </w:tc>
        <w:tc>
          <w:tcPr>
            <w:tcW w:type="dxa" w:w="1234"/>
            <w:tcW w:type="dxa" w:w="24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Audited/documentary</w:t>
            </w:r>
          </w:p>
        </w:tc>
        <w:tc>
          <w:tcPr>
            <w:tcW w:type="dxa" w:w="1234"/>
            <w:tcW w:type="dxa" w:w="12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4.5.2</w:t>
            </w:r>
          </w:p>
        </w:tc>
        <w:tc>
          <w:tcPr>
            <w:tcW w:type="dxa" w:w="1234"/>
            <w:tcW w:type="dxa" w:w="117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Fiscal regime effects</w:t>
            </w:r>
          </w:p>
        </w:tc>
        <w:tc>
          <w:tcPr>
            <w:tcW w:type="dxa" w:w="1234"/>
            <w:tcW w:type="dxa" w:w="1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for this case</w:t>
            </w:r>
          </w:p>
        </w:tc>
        <w:tc>
          <w:tcPr>
            <w:tcW w:type="dxa" w:w="1234"/>
            <w:tcW w:type="dxa" w:w="18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of a fiscal change coinciding with the operator transition</w:t>
            </w:r>
          </w:p>
        </w:tc>
        <w:tc>
          <w:tcPr>
            <w:tcW w:type="dxa" w:w="1234"/>
            <w:tcW w:type="dxa" w:w="22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Acquired 2012; growth under the same pre-PIA regime</w:t>
            </w:r>
          </w:p>
        </w:tc>
        <w:tc>
          <w:tcPr>
            <w:tcW w:type="dxa" w:w="1234"/>
            <w:tcW w:type="dxa" w:w="24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2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4.5.2</w:t>
            </w:r>
          </w:p>
        </w:tc>
        <w:tc>
          <w:tcPr>
            <w:tcW w:type="dxa" w:w="1234"/>
            <w:tcW w:type="dxa" w:w="117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inadequacy</w:t>
            </w:r>
          </w:p>
        </w:tc>
        <w:tc>
          <w:tcPr>
            <w:tcW w:type="dxa" w:w="1234"/>
            <w:tcW w:type="dxa" w:w="1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enabling condition insufficient on its own</w:t>
            </w:r>
          </w:p>
        </w:tc>
        <w:tc>
          <w:tcPr>
            <w:tcW w:type="dxa" w:w="1234"/>
            <w:tcW w:type="dxa" w:w="18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a regulatory change coincided with the operator transition</w:t>
            </w:r>
          </w:p>
        </w:tc>
        <w:tc>
          <w:tcPr>
            <w:tcW w:type="dxa" w:w="1234"/>
            <w:tcW w:type="dxa" w:w="22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The regulatory regime was identical across the operator transition; a regime that did not change cannot account for an outcome that did, and the same pre-2024 framework governed the failure cases</w:t>
            </w:r>
          </w:p>
        </w:tc>
        <w:tc>
          <w:tcPr>
            <w:tcW w:type="dxa" w:w="1234"/>
            <w:tcW w:type="dxa" w:w="24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Documentary/regulatory; within-asset comparison</w:t>
            </w:r>
          </w:p>
        </w:tc>
        <w:tc>
          <w:tcPr>
            <w:tcW w:type="dxa" w:w="1234"/>
            <w:tcW w:type="dxa" w:w="12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4.5.2</w:t>
            </w:r>
          </w:p>
        </w:tc>
        <w:tc>
          <w:tcPr>
            <w:tcW w:type="dxa" w:w="1234"/>
            <w:tcW w:type="dxa" w:w="117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Medium-High</w:t>
            </w:r>
          </w:p>
        </w:tc>
      </w:tr>
      <w:tr>
        <w:tc>
          <w:tcPr>
            <w:tcW w:type="dxa" w:w="1234"/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Political economy</w:t>
            </w:r>
          </w:p>
        </w:tc>
        <w:tc>
          <w:tcPr>
            <w:tcW w:type="dxa" w:w="1234"/>
            <w:tcW w:type="dxa" w:w="1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 for operational quality</w:t>
            </w:r>
          </w:p>
        </w:tc>
        <w:tc>
          <w:tcPr>
            <w:tcW w:type="dxa" w:w="1234"/>
            <w:tcW w:type="dxa" w:w="18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the recovery reflected political access ahead of operational capability</w:t>
            </w:r>
          </w:p>
        </w:tc>
        <w:tc>
          <w:tcPr>
            <w:tcW w:type="dxa" w:w="1234"/>
            <w:tcW w:type="dxa" w:w="22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Rehabilitation of vessels, wellheads, and compression and the production growth are technical achievements political access cannot supply</w:t>
            </w:r>
          </w:p>
        </w:tc>
        <w:tc>
          <w:tcPr>
            <w:tcW w:type="dxa" w:w="1234"/>
            <w:tcW w:type="dxa" w:w="24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Non-substitutability logic</w:t>
            </w:r>
          </w:p>
        </w:tc>
        <w:tc>
          <w:tcPr>
            <w:tcW w:type="dxa" w:w="1234"/>
            <w:tcW w:type="dxa" w:w="12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4.5.2</w:t>
            </w:r>
          </w:p>
        </w:tc>
        <w:tc>
          <w:tcPr>
            <w:tcW w:type="dxa" w:w="1234"/>
            <w:tcW w:type="dxa" w:w="117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85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Coordination failure</w:t>
            </w:r>
          </w:p>
        </w:tc>
        <w:tc>
          <w:tcPr>
            <w:tcW w:type="dxa" w:w="1234"/>
            <w:tcW w:type="dxa" w:w="154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 for this case</w:t>
            </w:r>
          </w:p>
        </w:tc>
        <w:tc>
          <w:tcPr>
            <w:tcW w:type="dxa" w:w="1234"/>
            <w:tcW w:type="dxa" w:w="18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applicable; explanation not tested</w:t>
            </w:r>
          </w:p>
        </w:tc>
        <w:tc>
          <w:tcPr>
            <w:tcW w:type="dxa" w:w="1234"/>
            <w:tcW w:type="dxa" w:w="2210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 operational failure occurred to which a coordination breakdown could be attributed</w:t>
            </w:r>
          </w:p>
        </w:tc>
        <w:tc>
          <w:tcPr>
            <w:tcW w:type="dxa" w:w="1234"/>
            <w:tcW w:type="dxa" w:w="2422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Non-test (no failure)</w:t>
            </w:r>
          </w:p>
        </w:tc>
        <w:tc>
          <w:tcPr>
            <w:tcW w:type="dxa" w:w="1234"/>
            <w:tcW w:type="dxa" w:w="123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4.5.2</w:t>
            </w:r>
          </w:p>
        </w:tc>
        <w:tc>
          <w:tcPr>
            <w:tcW w:type="dxa" w:w="1234"/>
            <w:tcW w:type="dxa" w:w="117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tested</w:t>
            </w:r>
          </w:p>
        </w:tc>
      </w:tr>
      <w:tr>
        <w:tc>
          <w:tcPr>
            <w:tcW w:type="dxa" w:w="1234"/>
            <w:tcW w:type="dxa" w:w="1851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Capability-related factors</w:t>
            </w:r>
          </w:p>
        </w:tc>
        <w:tc>
          <w:tcPr>
            <w:tcW w:type="dxa" w:w="1234"/>
            <w:tcW w:type="dxa" w:w="1542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Most consistent with the evidence for this case</w:t>
            </w:r>
          </w:p>
        </w:tc>
        <w:tc>
          <w:tcPr>
            <w:tcW w:type="dxa" w:w="1234"/>
            <w:tcW w:type="dxa" w:w="1810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operator change of comparable capability leaving the outcome unchanged, or a recovery traceable to new capital or a regime change</w:t>
            </w:r>
          </w:p>
        </w:tc>
        <w:tc>
          <w:tcPr>
            <w:tcW w:type="dxa" w:w="1234"/>
            <w:tcW w:type="dxa" w:w="2210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The principal change was operatorship, from a state company the regulator judged unsatisfactory to an indigenous team carrying direct Shell (Brown, 27 yrs SPDC) and NNPC (Ukpaka, 39 yrs upstream) experience; audited production recovered from a trough near 3,800 bpd to ~24,000-30,000 (2021-2022) and an operator-reported peak near 67,000 by 2025, without new drilling, isolating embedded capability from nationality though not from international technical support</w:t>
            </w:r>
          </w:p>
        </w:tc>
        <w:tc>
          <w:tcPr>
            <w:tcW w:type="dxa" w:w="1234"/>
            <w:tcW w:type="dxa" w:w="2422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Audited; operator-reported; corporate profile</w:t>
            </w:r>
          </w:p>
        </w:tc>
        <w:tc>
          <w:tcPr>
            <w:tcW w:type="dxa" w:w="1234"/>
            <w:tcW w:type="dxa" w:w="1234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4.5.2</w:t>
            </w:r>
          </w:p>
        </w:tc>
        <w:tc>
          <w:tcPr>
            <w:tcW w:type="dxa" w:w="1234"/>
            <w:tcW w:type="dxa" w:w="1171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</w:tbl>
    <w:p>
      <w:pPr>
        <w:sectPr>
          <w:pgSz w:w="15840" w:h="12240" w:orient="landscape"/>
          <w:pgMar w:top="1440" w:bottom="1440" w:left="1800" w:right="1800" w:header="720" w:footer="720" w:gutter="0"/>
        </w:sectPr>
      </w:pPr>
    </w:p>
    <w:bookmarkEnd w:id="24"/>
    <w:bookmarkStart w:id="25" w:name="npdc"/>
    <w:p>
      <w:pPr>
        <w:pStyle w:val="Heading2"/>
        <w:sectPr>
          <w:pgSz w:w="12240" w:h="15840"/>
          <w:pgMar w:top="1440" w:bottom="1440" w:left="1800" w:right="1800" w:header="720" w:footer="720" w:gutter="0"/>
        </w:sectPr>
      </w:pPr>
      <w:r>
        <w:t xml:space="preserve">NPDC</w:t>
      </w:r>
    </w:p>
    <w:p>
      <w:pPr>
        <w:pStyle w:val="FirstParagraph"/>
      </w:pPr>
      <w:r>
        <w:rPr>
          <w:bCs/>
          <w:b/>
        </w:rPr>
        <w:t xml:space="preserve">Table E.6. Verdict matrix for the NPDC case. Each explanation is assessed on its own pre-specified evidence, with the condition that would overturn its verdict.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12240"/>
      </w:tblPr>
      <w:tblGrid>
        <w:gridCol w:w="1741"/>
        <w:gridCol w:w="1998"/>
        <w:gridCol w:w="1793"/>
        <w:gridCol w:w="2273"/>
        <w:gridCol w:w="2155"/>
        <w:gridCol w:w="1154"/>
        <w:gridCol w:w="1126"/>
      </w:tblGrid>
      <w:tr>
        <w:tc>
          <w:tcPr>
            <w:tcW w:type="dxa" w:w="1234"/>
            <w:tcW w:type="dxa" w:w="1741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type="dxa" w:w="1234"/>
            <w:tcW w:type="dxa" w:w="1998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234"/>
            <w:tcW w:type="dxa" w:w="1793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What would change this verdict</w:t>
            </w:r>
          </w:p>
        </w:tc>
        <w:tc>
          <w:tcPr>
            <w:tcW w:type="dxa" w:w="1234"/>
            <w:tcW w:type="dxa" w:w="2273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1234"/>
            <w:tcW w:type="dxa" w:w="2155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 type</w:t>
            </w:r>
          </w:p>
        </w:tc>
        <w:tc>
          <w:tcPr>
            <w:tcW w:type="dxa" w:w="1234"/>
            <w:tcW w:type="dxa" w:w="1154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 established</w:t>
            </w:r>
          </w:p>
        </w:tc>
        <w:tc>
          <w:tcPr>
            <w:tcW w:type="dxa" w:w="1234"/>
            <w:tcW w:type="dxa" w:w="1126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1234"/>
            <w:tcW w:type="dxa" w:w="1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constraints</w:t>
            </w:r>
          </w:p>
        </w:tc>
        <w:tc>
          <w:tcPr>
            <w:tcW w:type="dxa" w:w="1234"/>
            <w:tcW w:type="dxa" w:w="19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sufficient</w:t>
            </w:r>
          </w:p>
        </w:tc>
        <w:tc>
          <w:tcPr>
            <w:tcW w:type="dxa" w:w="1234"/>
            <w:tcW w:type="dxa" w:w="17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Direct evidence of a binding funding shortage driving the underperformance</w:t>
            </w:r>
          </w:p>
        </w:tc>
        <w:tc>
          <w:tcPr>
            <w:tcW w:type="dxa" w:w="1234"/>
            <w:tcW w:type="dxa" w:w="22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 case-specific evidence shows a binding funding shortage driving the underperformance; the sustained, structural deficit across licenses and years points to organizational and incentive problems rather than acute capital scarcity</w:t>
            </w:r>
          </w:p>
        </w:tc>
        <w:tc>
          <w:tcPr>
            <w:tcW w:type="dxa" w:w="1234"/>
            <w:tcW w:type="dxa" w:w="2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State-entity structure; multi-year audited pattern</w:t>
            </w:r>
          </w:p>
        </w:tc>
        <w:tc>
          <w:tcPr>
            <w:tcW w:type="dxa" w:w="1234"/>
            <w:tcW w:type="dxa" w:w="11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4.5.3</w:t>
            </w:r>
          </w:p>
        </w:tc>
        <w:tc>
          <w:tcPr>
            <w:tcW w:type="dxa" w:w="1234"/>
            <w:tcW w:type="dxa" w:w="112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Fiscal regime effects</w:t>
            </w:r>
          </w:p>
        </w:tc>
        <w:tc>
          <w:tcPr>
            <w:tcW w:type="dxa" w:w="1234"/>
            <w:tcW w:type="dxa" w:w="19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for this case</w:t>
            </w:r>
          </w:p>
        </w:tc>
        <w:tc>
          <w:tcPr>
            <w:tcW w:type="dxa" w:w="1234"/>
            <w:tcW w:type="dxa" w:w="17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of a fiscal effect specific to NPDC</w:t>
            </w:r>
          </w:p>
        </w:tc>
        <w:tc>
          <w:tcPr>
            <w:tcW w:type="dxa" w:w="1234"/>
            <w:tcW w:type="dxa" w:w="22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The underperformance spans and predates the PIA and is common to the regime all operators faced</w:t>
            </w:r>
          </w:p>
        </w:tc>
        <w:tc>
          <w:tcPr>
            <w:tcW w:type="dxa" w:w="1234"/>
            <w:tcW w:type="dxa" w:w="2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1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4.5.3</w:t>
            </w:r>
          </w:p>
        </w:tc>
        <w:tc>
          <w:tcPr>
            <w:tcW w:type="dxa" w:w="1234"/>
            <w:tcW w:type="dxa" w:w="112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inadequacy</w:t>
            </w:r>
          </w:p>
        </w:tc>
        <w:tc>
          <w:tcPr>
            <w:tcW w:type="dxa" w:w="1234"/>
            <w:tcW w:type="dxa" w:w="19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enabling condition insufficient on its own</w:t>
            </w:r>
          </w:p>
        </w:tc>
        <w:tc>
          <w:tcPr>
            <w:tcW w:type="dxa" w:w="1234"/>
            <w:tcW w:type="dxa" w:w="17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a regulatory difference, ahead of the operator, produced the outcome</w:t>
            </w:r>
          </w:p>
        </w:tc>
        <w:tc>
          <w:tcPr>
            <w:tcW w:type="dxa" w:w="1234"/>
            <w:tcW w:type="dxa" w:w="22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The same framework that screened no capability governed NPDC; as a state entity it faced, if anything, weaker external discipline; the regime is common to all operators</w:t>
            </w:r>
          </w:p>
        </w:tc>
        <w:tc>
          <w:tcPr>
            <w:tcW w:type="dxa" w:w="1234"/>
            <w:tcW w:type="dxa" w:w="2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Documentary/regulatory</w:t>
            </w:r>
          </w:p>
        </w:tc>
        <w:tc>
          <w:tcPr>
            <w:tcW w:type="dxa" w:w="1234"/>
            <w:tcW w:type="dxa" w:w="11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4.5.3</w:t>
            </w:r>
          </w:p>
        </w:tc>
        <w:tc>
          <w:tcPr>
            <w:tcW w:type="dxa" w:w="1234"/>
            <w:tcW w:type="dxa" w:w="112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Political economy</w:t>
            </w:r>
          </w:p>
        </w:tc>
        <w:tc>
          <w:tcPr>
            <w:tcW w:type="dxa" w:w="1234"/>
            <w:tcW w:type="dxa" w:w="19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Most consistent with the evidence, on the commercial-survival dimension</w:t>
            </w:r>
          </w:p>
        </w:tc>
        <w:tc>
          <w:tcPr>
            <w:tcW w:type="dxa" w:w="1234"/>
            <w:tcW w:type="dxa" w:w="17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NPDC’s survival rested on operational performance ahead of state backing</w:t>
            </w:r>
          </w:p>
        </w:tc>
        <w:tc>
          <w:tcPr>
            <w:tcW w:type="dxa" w:w="1234"/>
            <w:tcW w:type="dxa" w:w="22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Technical efficiency far below the capable operators (23%) and underperformance against its own 500k-by-2020 target, yet continued operation across multiple licenses on state backing; the positive form of the test deferred at 4.3.4</w:t>
            </w:r>
          </w:p>
        </w:tc>
        <w:tc>
          <w:tcPr>
            <w:tcW w:type="dxa" w:w="1234"/>
            <w:tcW w:type="dxa" w:w="2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Population-level; documentary; state-entity record</w:t>
            </w:r>
          </w:p>
        </w:tc>
        <w:tc>
          <w:tcPr>
            <w:tcW w:type="dxa" w:w="1234"/>
            <w:tcW w:type="dxa" w:w="11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4.5.3</w:t>
            </w:r>
          </w:p>
        </w:tc>
        <w:tc>
          <w:tcPr>
            <w:tcW w:type="dxa" w:w="1234"/>
            <w:tcW w:type="dxa" w:w="112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Medium-High</w:t>
            </w:r>
          </w:p>
        </w:tc>
      </w:tr>
      <w:tr>
        <w:tc>
          <w:tcPr>
            <w:tcW w:type="dxa" w:w="1234"/>
            <w:tcW w:type="dxa" w:w="174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Coordination failure</w:t>
            </w:r>
          </w:p>
        </w:tc>
        <w:tc>
          <w:tcPr>
            <w:tcW w:type="dxa" w:w="1234"/>
            <w:tcW w:type="dxa" w:w="199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independently caused</w:t>
            </w:r>
          </w:p>
        </w:tc>
        <w:tc>
          <w:tcPr>
            <w:tcW w:type="dxa" w:w="1234"/>
            <w:tcW w:type="dxa" w:w="179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of a specific coordination breakdown independent of a standing capability gap</w:t>
            </w:r>
          </w:p>
        </w:tc>
        <w:tc>
          <w:tcPr>
            <w:tcW w:type="dxa" w:w="1234"/>
            <w:tcW w:type="dxa" w:w="227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Sustained, structural underperformance across licenses and years, not a transition-period breakdown</w:t>
            </w:r>
          </w:p>
        </w:tc>
        <w:tc>
          <w:tcPr>
            <w:tcW w:type="dxa" w:w="1234"/>
            <w:tcW w:type="dxa" w:w="215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15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4.5.3</w:t>
            </w:r>
          </w:p>
        </w:tc>
        <w:tc>
          <w:tcPr>
            <w:tcW w:type="dxa" w:w="1234"/>
            <w:tcW w:type="dxa" w:w="1126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741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Capability-related factors</w:t>
            </w:r>
          </w:p>
        </w:tc>
        <w:tc>
          <w:tcPr>
            <w:tcW w:type="dxa" w:w="1234"/>
            <w:tcW w:type="dxa" w:w="1998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Most consistent with the evidence, on the operational-quality dimension</w:t>
            </w:r>
          </w:p>
        </w:tc>
        <w:tc>
          <w:tcPr>
            <w:tcW w:type="dxa" w:w="1234"/>
            <w:tcW w:type="dxa" w:w="1793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 state operator without embedded upstream capability matching the operational quality of the capable acquirers</w:t>
            </w:r>
          </w:p>
        </w:tc>
        <w:tc>
          <w:tcPr>
            <w:tcW w:type="dxa" w:w="1234"/>
            <w:tcW w:type="dxa" w:w="2273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 state operator with institutional history but without an embedded capability-development pathway shows the predicted deficit: 23% technical efficiency; OML 30 run to a trough and a formal unsatisfactory finding before the HEOSL recovery; OML 26 audited output falling to ~3,700 bpd metered and ~3,200 fiscalized in 2022 while the HEOSL-operated OML 30 on the same route rose, so the shortfall is operational, not stranding</w:t>
            </w:r>
          </w:p>
        </w:tc>
        <w:tc>
          <w:tcPr>
            <w:tcW w:type="dxa" w:w="1234"/>
            <w:tcW w:type="dxa" w:w="2155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Audited; population-level; regulatory finding</w:t>
            </w:r>
          </w:p>
        </w:tc>
        <w:tc>
          <w:tcPr>
            <w:tcW w:type="dxa" w:w="1234"/>
            <w:tcW w:type="dxa" w:w="1154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4.5.3</w:t>
            </w:r>
          </w:p>
        </w:tc>
        <w:tc>
          <w:tcPr>
            <w:tcW w:type="dxa" w:w="1234"/>
            <w:tcW w:type="dxa" w:w="1126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</w:tbl>
    <w:p>
      <w:pPr>
        <w:sectPr>
          <w:pgSz w:w="15840" w:h="12240" w:orient="landscape"/>
          <w:pgMar w:top="1440" w:bottom="1440" w:left="1800" w:right="1800" w:header="720" w:footer="720" w:gutter="0"/>
        </w:sectPr>
      </w:pPr>
    </w:p>
    <w:bookmarkEnd w:id="25"/>
    <w:bookmarkStart w:id="26" w:name="marginal-field-program"/>
    <w:p>
      <w:pPr>
        <w:pStyle w:val="Heading2"/>
        <w:sectPr>
          <w:pgSz w:w="12240" w:h="15840"/>
          <w:pgMar w:top="1440" w:bottom="1440" w:left="1800" w:right="1800" w:header="720" w:footer="720" w:gutter="0"/>
        </w:sectPr>
      </w:pPr>
      <w:r>
        <w:t xml:space="preserve">Marginal Field Program</w:t>
      </w:r>
    </w:p>
    <w:p>
      <w:pPr>
        <w:pStyle w:val="FirstParagraph"/>
      </w:pPr>
      <w:r>
        <w:rPr>
          <w:bCs/>
          <w:b/>
        </w:rPr>
        <w:t xml:space="preserve">Table E.7. Verdict matrix for the Marginal Field Program. Each explanation is assessed on its own pre-specified evidence, with the condition that would overturn its verdict.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12240"/>
      </w:tblPr>
      <w:tblGrid>
        <w:gridCol w:w="1811"/>
        <w:gridCol w:w="1768"/>
        <w:gridCol w:w="2408"/>
        <w:gridCol w:w="2088"/>
        <w:gridCol w:w="1737"/>
        <w:gridCol w:w="1205"/>
        <w:gridCol w:w="1223"/>
      </w:tblGrid>
      <w:tr>
        <w:tc>
          <w:tcPr>
            <w:tcW w:type="dxa" w:w="1234"/>
            <w:tcW w:type="dxa" w:w="1811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type="dxa" w:w="1234"/>
            <w:tcW w:type="dxa" w:w="1768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234"/>
            <w:tcW w:type="dxa" w:w="2408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What would change this verdict</w:t>
            </w:r>
          </w:p>
        </w:tc>
        <w:tc>
          <w:tcPr>
            <w:tcW w:type="dxa" w:w="1234"/>
            <w:tcW w:type="dxa" w:w="2088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1234"/>
            <w:tcW w:type="dxa" w:w="1737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Evidence type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Verdict established</w:t>
            </w:r>
          </w:p>
        </w:tc>
        <w:tc>
          <w:tcPr>
            <w:tcW w:type="dxa" w:w="1234"/>
            <w:tcW w:type="dxa" w:w="1223"/>
            <w:tcBorders>
              <w:left w:val="nil"/>
              <w:right w:val="nil"/>
              <w:top w:val="single" w:sz="8" w:space="0" w:color="000000"/>
              <w:bottom w:val="single" w:sz="4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Capital constraints</w:t>
            </w:r>
          </w:p>
        </w:tc>
        <w:tc>
          <w:tcPr>
            <w:tcW w:type="dxa" w:w="1234"/>
            <w:tcW w:type="dxa" w:w="17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Consistent but not decisive for this cohort; rejected as sufficient for the well-funded divestment failures</w:t>
            </w:r>
          </w:p>
        </w:tc>
        <w:tc>
          <w:tcPr>
            <w:tcW w:type="dxa" w:w="1234"/>
            <w:tcW w:type="dxa" w:w="24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capital scarcity, not capability, drove the cohort underperformance even among adequately funded awardees</w:t>
            </w:r>
          </w:p>
        </w:tc>
        <w:tc>
          <w:tcPr>
            <w:tcW w:type="dxa" w:w="1234"/>
            <w:tcW w:type="dxa" w:w="208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Small, underfunded awardees; the regulator attributes stalled 2020-round development partly to limited financial capacity; for small operators capital and capability are confounded</w:t>
            </w:r>
          </w:p>
        </w:tc>
        <w:tc>
          <w:tcPr>
            <w:tcW w:type="dxa" w:w="1234"/>
            <w:tcW w:type="dxa" w:w="17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statement; cohort structure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  <w:tcW w:type="dxa" w:w="12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Fiscal regime effects</w:t>
            </w:r>
          </w:p>
        </w:tc>
        <w:tc>
          <w:tcPr>
            <w:tcW w:type="dxa" w:w="1234"/>
            <w:tcW w:type="dxa" w:w="17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for this cohort</w:t>
            </w:r>
          </w:p>
        </w:tc>
        <w:tc>
          <w:tcPr>
            <w:tcW w:type="dxa" w:w="1234"/>
            <w:tcW w:type="dxa" w:w="24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None; the awards predate the Act</w:t>
            </w:r>
          </w:p>
        </w:tc>
        <w:tc>
          <w:tcPr>
            <w:tcW w:type="dxa" w:w="1234"/>
            <w:tcW w:type="dxa" w:w="208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All marginal-field outcomes (2003-2020) predate the PIA</w:t>
            </w:r>
          </w:p>
        </w:tc>
        <w:tc>
          <w:tcPr>
            <w:tcW w:type="dxa" w:w="1234"/>
            <w:tcW w:type="dxa" w:w="17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  <w:tcW w:type="dxa" w:w="12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inadequacy</w:t>
            </w:r>
          </w:p>
        </w:tc>
        <w:tc>
          <w:tcPr>
            <w:tcW w:type="dxa" w:w="1234"/>
            <w:tcW w:type="dxa" w:w="17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An enabling condition insufficient on its own, most directly evidenced</w:t>
            </w:r>
          </w:p>
        </w:tc>
        <w:tc>
          <w:tcPr>
            <w:tcW w:type="dxa" w:w="1234"/>
            <w:tcW w:type="dxa" w:w="24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the allocation framework included a capability test the failed awardees passed</w:t>
            </w:r>
          </w:p>
        </w:tc>
        <w:tc>
          <w:tcPr>
            <w:tcW w:type="dxa" w:w="1234"/>
            <w:tcW w:type="dxa" w:w="208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The allocation framework included no capability test; it permitted the failures without determining which operators would fail</w:t>
            </w:r>
          </w:p>
        </w:tc>
        <w:tc>
          <w:tcPr>
            <w:tcW w:type="dxa" w:w="1234"/>
            <w:tcW w:type="dxa" w:w="17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Regulatory framework; contemporaneous attribution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  <w:tcW w:type="dxa" w:w="12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Medium-High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Political economy</w:t>
            </w:r>
          </w:p>
        </w:tc>
        <w:tc>
          <w:tcPr>
            <w:tcW w:type="dxa" w:w="1234"/>
            <w:tcW w:type="dxa" w:w="17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separately tested at the cohort level</w:t>
            </w:r>
          </w:p>
        </w:tc>
        <w:tc>
          <w:tcPr>
            <w:tcW w:type="dxa" w:w="1234"/>
            <w:tcW w:type="dxa" w:w="24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applicable; not separately tested at the cohort level</w:t>
            </w:r>
          </w:p>
        </w:tc>
        <w:tc>
          <w:tcPr>
            <w:tcW w:type="dxa" w:w="1234"/>
            <w:tcW w:type="dxa" w:w="208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Some 2001-2003 allocation was politically influenced, but cohort-level operator trajectories are not resolved by political access</w:t>
            </w:r>
          </w:p>
        </w:tc>
        <w:tc>
          <w:tcPr>
            <w:tcW w:type="dxa" w:w="1234"/>
            <w:tcW w:type="dxa" w:w="17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Secondary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  <w:tcW w:type="dxa" w:w="12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Not separately tested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Coordination failure</w:t>
            </w:r>
          </w:p>
        </w:tc>
        <w:tc>
          <w:tcPr>
            <w:tcW w:type="dxa" w:w="1234"/>
            <w:tcW w:type="dxa" w:w="176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Rejected as independently caused</w:t>
            </w:r>
          </w:p>
        </w:tc>
        <w:tc>
          <w:tcPr>
            <w:tcW w:type="dxa" w:w="1234"/>
            <w:tcW w:type="dxa" w:w="240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of a transition-period breakdown independent of a standing capability gap</w:t>
            </w:r>
          </w:p>
        </w:tc>
        <w:tc>
          <w:tcPr>
            <w:tcW w:type="dxa" w:w="1234"/>
            <w:tcW w:type="dxa" w:w="2088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Underdevelopment persisted over more than a decade, not a transition-period breakdown that eases as an operator settles</w:t>
            </w:r>
          </w:p>
        </w:tc>
        <w:tc>
          <w:tcPr>
            <w:tcW w:type="dxa" w:w="1234"/>
            <w:tcW w:type="dxa" w:w="1737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Documentary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  <w:tcW w:type="dxa" w:w="1223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34"/>
            <w:tcW w:type="dxa" w:w="1811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Capability-related factors</w:t>
            </w:r>
          </w:p>
        </w:tc>
        <w:tc>
          <w:tcPr>
            <w:tcW w:type="dxa" w:w="1234"/>
            <w:tcW w:type="dxa" w:w="1768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Consistent but not decisive; structural corroboration</w:t>
            </w:r>
          </w:p>
        </w:tc>
        <w:tc>
          <w:tcPr>
            <w:tcW w:type="dxa" w:w="1234"/>
            <w:tcW w:type="dxa" w:w="2408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Evidence that capability-unassessed operators matched the cohort outcomes of assessed operators</w:t>
            </w:r>
          </w:p>
        </w:tc>
        <w:tc>
          <w:tcPr>
            <w:tcW w:type="dxa" w:w="1234"/>
            <w:tcW w:type="dxa" w:w="2088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Operators without assessed capability underperformed at the cohort level under a mechanism distinct from divestment; the Avuru/Okoloko divergence shows domain-specific capability scales; due-diligence failure traced to inadequate capability assessment</w:t>
            </w:r>
          </w:p>
        </w:tc>
        <w:tc>
          <w:tcPr>
            <w:tcW w:type="dxa" w:w="1234"/>
            <w:tcW w:type="dxa" w:w="1737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Cohort outcomes; biographical; academic attribution</w:t>
            </w:r>
          </w:p>
        </w:tc>
        <w:tc>
          <w:tcPr>
            <w:tcW w:type="dxa" w:w="1234"/>
            <w:tcW w:type="dxa" w:w="1205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  <w:tcW w:type="dxa" w:w="1223"/>
            <w:tcBorders>
              <w:left w:val="nil"/>
              <w:right w:val="nil"/>
              <w:top w:val="nil"/>
              <w:bottom w:val="single" w:sz="8" w:space="0" w:color="000000"/>
            </w:tcBorders>
          </w:tcPr>
          <w:p>
            <w:pPr>
              <w:spacing w:before="40" w:after="40" w:line="240" w:lineRule="auto"/>
            </w:pPr>
            <w:r>
              <w:rPr>
                <w:sz w:val="16"/>
              </w:rPr>
              <w:t>Medium</w:t>
            </w:r>
          </w:p>
        </w:tc>
      </w:tr>
    </w:tbl>
    <w:p>
      <w:pPr>
        <w:sectPr>
          <w:pgSz w:w="15840" w:h="12240" w:orient="landscape"/>
          <w:pgMar w:top="1440" w:bottom="1440" w:left="1800" w:right="1800" w:header="720" w:footer="720" w:gutter="0"/>
        </w:sectPr>
      </w:pPr>
    </w:p>
    <w:bookmarkEnd w:id="26"/>
    <w:bookmarkStart w:id="27" w:name="X150da30d7e1c20026380f00a80e6efa798d5dbb"/>
    <w:p>
      <w:pPr>
        <w:pStyle w:val="Heading2"/>
      </w:pPr>
      <w:r>
        <w:t xml:space="preserve">Cross-References Not Scored as Separate Verdicts</w:t>
      </w:r>
    </w:p>
    <w:p>
      <w:pPr>
        <w:pStyle w:val="FirstParagraph"/>
      </w:pPr>
      <w:r>
        <w:t xml:space="preserve">Three transactions enter Section 4.7 without a per-case verdict row. Oando and ConocoPhillips (2014) and Oando and Eni-NAOC (2024) serve as seller-independence cross-references, where the largely non-operating interests test governance and seller identity in place of operational capability. Seplat and ExxonMobil MPNU provide a further seller-independence cross-reference, a capable buyer integrating from a different seller. Renaissance stands as a design contrast, with capability preservation structured into the transaction. Section 4.7 records their bearing on the cross-case reading; their interests or timing place them outside the per-case verdict scoring used above.</w:t>
      </w:r>
    </w:p>
    <w:bookmarkEnd w:id="27"/>
    <w:bookmarkEnd w:id="28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Theme="majorEastAsia" w:hAnsi="Times New Roman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2026-06-22T17:23:17Z</dcterms:created>
  <dcterms:modified xsi:type="dcterms:W3CDTF">2026-06-22T17:23:17Z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