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ppendix-f.-survey-response-data"/>
    <w:p>
      <w:pPr>
        <w:pStyle w:val="Heading1"/>
      </w:pPr>
      <w:r>
        <w:t xml:space="preserve">Appendix F. Survey Response Data</w:t>
      </w:r>
    </w:p>
    <w:p>
      <w:pPr>
        <w:pStyle w:val="FirstParagraph"/>
        <w:sectPr>
          <w:pgSz w:w="12240" w:h="15840"/>
          <w:pgMar w:top="1440" w:bottom="1440" w:left="1800" w:right="1800" w:header="720" w:footer="720" w:gutter="0"/>
        </w:sectPr>
      </w:pPr>
      <w:r>
        <w:t xml:space="preserve">The structured survey instrument described in Section 3.5 was deployed as an alternative to interviews where scheduling prevented them, addressed to the three participant groups (Group A, IOC sellers; Group B, domestic operators; Group C, regulators). Of eight response records, three were completed. All three came from Group A, IOC sellers in technical or operational roles; the remaining five records comprised one test entry and four submissions abandoned at or below 14 percent progress. The three completed responses are reproduced here in full so that the summaries in Sections 4.7.1 and 4.8 can be read against the underlying evidence. Respondents are de-identified and labeled S1 to S3. Two of the three identified the transaction they were describing as the Shell or SPDC divestment to Renaissance; the third did not disclose a transaction.</w:t>
      </w:r>
    </w:p>
    <w:p>
      <w:pPr>
        <w:pStyle w:val="BodyText"/>
      </w:pPr>
      <w:r>
        <w:rPr>
          <w:bCs/>
          <w:b/>
        </w:rPr>
        <w:t xml:space="preserve">Table F.1. Profile of the three completed respondents. All three are seller-side participants in technical or operational roles; two were describing the Renaissance transaction and one did not disclose a transaction.</w:t>
      </w:r>
    </w:p>
    <w:tbl>
      <w:tblPr>
        <w:tblW w:type="auto" w:w="0"/>
        <w:tblLook w:firstColumn="1" w:firstRow="1" w:lastColumn="0" w:lastRow="0" w:noHBand="0" w:noVBand="1" w:val="04A0"/>
        <w:tblLayout w:type="fixed"/>
        <w:tblW w:type="dxa" w:w="12240"/>
      </w:tblPr>
      <w:tblGrid>
        <w:gridCol w:w="1533"/>
        <w:gridCol w:w="1746"/>
        <w:gridCol w:w="2306"/>
        <w:gridCol w:w="2200"/>
        <w:gridCol w:w="2333"/>
        <w:gridCol w:w="2122"/>
      </w:tblGrid>
      <w:tr>
        <w:tc>
          <w:tcPr>
            <w:tcW w:type="dxa" w:w="1440"/>
            <w:tcW w:type="dxa" w:w="1533"/>
            <w:tcBorders>
              <w:left w:val="nil"/>
              <w:right w:val="nil"/>
              <w:top w:val="single" w:sz="8" w:space="0" w:color="000000"/>
              <w:bottom w:val="single" w:sz="4" w:space="0" w:color="000000"/>
            </w:tcBorders>
          </w:tcPr>
          <w:p>
            <w:pPr>
              <w:spacing w:before="40" w:after="40" w:line="240" w:lineRule="auto"/>
            </w:pPr>
            <w:r>
              <w:rPr>
                <w:b/>
                <w:sz w:val="16"/>
              </w:rPr>
              <w:t>Respondent</w:t>
            </w:r>
          </w:p>
        </w:tc>
        <w:tc>
          <w:tcPr>
            <w:tcW w:type="dxa" w:w="1440"/>
            <w:tcW w:type="dxa" w:w="1746"/>
            <w:tcBorders>
              <w:left w:val="nil"/>
              <w:right w:val="nil"/>
              <w:top w:val="single" w:sz="8" w:space="0" w:color="000000"/>
              <w:bottom w:val="single" w:sz="4" w:space="0" w:color="000000"/>
            </w:tcBorders>
          </w:tcPr>
          <w:p>
            <w:pPr>
              <w:spacing w:before="40" w:after="40" w:line="240" w:lineRule="auto"/>
            </w:pPr>
            <w:r>
              <w:rPr>
                <w:b/>
                <w:sz w:val="16"/>
              </w:rPr>
              <w:t>Group</w:t>
            </w:r>
          </w:p>
        </w:tc>
        <w:tc>
          <w:tcPr>
            <w:tcW w:type="dxa" w:w="1440"/>
            <w:tcW w:type="dxa" w:w="2306"/>
            <w:tcBorders>
              <w:left w:val="nil"/>
              <w:right w:val="nil"/>
              <w:top w:val="single" w:sz="8" w:space="0" w:color="000000"/>
              <w:bottom w:val="single" w:sz="4" w:space="0" w:color="000000"/>
            </w:tcBorders>
          </w:tcPr>
          <w:p>
            <w:pPr>
              <w:spacing w:before="40" w:after="40" w:line="240" w:lineRule="auto"/>
            </w:pPr>
            <w:r>
              <w:rPr>
                <w:b/>
                <w:sz w:val="16"/>
              </w:rPr>
              <w:t>Role</w:t>
            </w:r>
          </w:p>
        </w:tc>
        <w:tc>
          <w:tcPr>
            <w:tcW w:type="dxa" w:w="1440"/>
            <w:tcW w:type="dxa" w:w="2200"/>
            <w:tcBorders>
              <w:left w:val="nil"/>
              <w:right w:val="nil"/>
              <w:top w:val="single" w:sz="8" w:space="0" w:color="000000"/>
              <w:bottom w:val="single" w:sz="4" w:space="0" w:color="000000"/>
            </w:tcBorders>
          </w:tcPr>
          <w:p>
            <w:pPr>
              <w:spacing w:before="40" w:after="40" w:line="240" w:lineRule="auto"/>
            </w:pPr>
            <w:r>
              <w:rPr>
                <w:b/>
                <w:sz w:val="16"/>
              </w:rPr>
              <w:t>Transaction described</w:t>
            </w:r>
          </w:p>
        </w:tc>
        <w:tc>
          <w:tcPr>
            <w:tcW w:type="dxa" w:w="1440"/>
            <w:tcW w:type="dxa" w:w="2333"/>
            <w:tcBorders>
              <w:left w:val="nil"/>
              <w:right w:val="nil"/>
              <w:top w:val="single" w:sz="8" w:space="0" w:color="000000"/>
              <w:bottom w:val="single" w:sz="4" w:space="0" w:color="000000"/>
            </w:tcBorders>
          </w:tcPr>
          <w:p>
            <w:pPr>
              <w:spacing w:before="40" w:after="40" w:line="240" w:lineRule="auto"/>
            </w:pPr>
            <w:r>
              <w:rPr>
                <w:b/>
                <w:sz w:val="16"/>
              </w:rPr>
              <w:t>Basis of knowledge</w:t>
            </w:r>
          </w:p>
        </w:tc>
        <w:tc>
          <w:tcPr>
            <w:tcW w:type="dxa" w:w="1440"/>
            <w:tcW w:type="dxa" w:w="2122"/>
            <w:tcBorders>
              <w:left w:val="nil"/>
              <w:right w:val="nil"/>
              <w:top w:val="single" w:sz="8" w:space="0" w:color="000000"/>
              <w:bottom w:val="single" w:sz="4" w:space="0" w:color="000000"/>
            </w:tcBorders>
          </w:tcPr>
          <w:p>
            <w:pPr>
              <w:spacing w:before="40" w:after="40" w:line="240" w:lineRule="auto"/>
            </w:pPr>
            <w:r>
              <w:rPr>
                <w:b/>
                <w:sz w:val="16"/>
              </w:rPr>
              <w:t>Confidence in ranking</w:t>
            </w:r>
          </w:p>
        </w:tc>
      </w:tr>
      <w:tr>
        <w:tc>
          <w:tcPr>
            <w:tcW w:type="dxa" w:w="1440"/>
            <w:tcW w:type="dxa" w:w="1533"/>
            <w:tcBorders>
              <w:left w:val="nil"/>
              <w:right w:val="nil"/>
              <w:top w:val="nil"/>
              <w:bottom w:val="nil"/>
            </w:tcBorders>
          </w:tcPr>
          <w:p>
            <w:pPr>
              <w:spacing w:before="40" w:after="40" w:line="240" w:lineRule="auto"/>
            </w:pPr>
            <w:r>
              <w:rPr>
                <w:sz w:val="16"/>
              </w:rPr>
              <w:t>S1</w:t>
            </w:r>
          </w:p>
        </w:tc>
        <w:tc>
          <w:tcPr>
            <w:tcW w:type="dxa" w:w="1440"/>
            <w:tcW w:type="dxa" w:w="1746"/>
            <w:tcBorders>
              <w:left w:val="nil"/>
              <w:right w:val="nil"/>
              <w:top w:val="nil"/>
              <w:bottom w:val="nil"/>
            </w:tcBorders>
          </w:tcPr>
          <w:p>
            <w:pPr>
              <w:spacing w:before="40" w:after="40" w:line="240" w:lineRule="auto"/>
            </w:pPr>
            <w:r>
              <w:rPr>
                <w:sz w:val="16"/>
              </w:rPr>
              <w:t>IOC seller (Group A)</w:t>
            </w:r>
          </w:p>
        </w:tc>
        <w:tc>
          <w:tcPr>
            <w:tcW w:type="dxa" w:w="1440"/>
            <w:tcW w:type="dxa" w:w="2306"/>
            <w:tcBorders>
              <w:left w:val="nil"/>
              <w:right w:val="nil"/>
              <w:top w:val="nil"/>
              <w:bottom w:val="nil"/>
            </w:tcBorders>
          </w:tcPr>
          <w:p>
            <w:pPr>
              <w:spacing w:before="40" w:after="40" w:line="240" w:lineRule="auto"/>
            </w:pPr>
            <w:r>
              <w:rPr>
                <w:sz w:val="16"/>
              </w:rPr>
              <w:t>Technical / operational</w:t>
            </w:r>
          </w:p>
        </w:tc>
        <w:tc>
          <w:tcPr>
            <w:tcW w:type="dxa" w:w="1440"/>
            <w:tcW w:type="dxa" w:w="2200"/>
            <w:tcBorders>
              <w:left w:val="nil"/>
              <w:right w:val="nil"/>
              <w:top w:val="nil"/>
              <w:bottom w:val="nil"/>
            </w:tcBorders>
          </w:tcPr>
          <w:p>
            <w:pPr>
              <w:spacing w:before="40" w:after="40" w:line="240" w:lineRule="auto"/>
            </w:pPr>
            <w:r>
              <w:rPr>
                <w:sz w:val="16"/>
              </w:rPr>
              <w:t>Not disclosed</w:t>
            </w:r>
          </w:p>
        </w:tc>
        <w:tc>
          <w:tcPr>
            <w:tcW w:type="dxa" w:w="1440"/>
            <w:tcW w:type="dxa" w:w="2333"/>
            <w:tcBorders>
              <w:left w:val="nil"/>
              <w:right w:val="nil"/>
              <w:top w:val="nil"/>
              <w:bottom w:val="nil"/>
            </w:tcBorders>
          </w:tcPr>
          <w:p>
            <w:pPr>
              <w:spacing w:before="40" w:after="40" w:line="240" w:lineRule="auto"/>
            </w:pPr>
            <w:r>
              <w:rPr>
                <w:sz w:val="16"/>
              </w:rPr>
              <w:t>Professional knowledge</w:t>
            </w:r>
          </w:p>
        </w:tc>
        <w:tc>
          <w:tcPr>
            <w:tcW w:type="dxa" w:w="1440"/>
            <w:tcW w:type="dxa" w:w="2122"/>
            <w:tcBorders>
              <w:left w:val="nil"/>
              <w:right w:val="nil"/>
              <w:top w:val="nil"/>
              <w:bottom w:val="nil"/>
            </w:tcBorders>
          </w:tcPr>
          <w:p>
            <w:pPr>
              <w:spacing w:before="40" w:after="40" w:line="240" w:lineRule="auto"/>
            </w:pPr>
            <w:r>
              <w:rPr>
                <w:sz w:val="16"/>
              </w:rPr>
              <w:t>Fairly confident</w:t>
            </w:r>
          </w:p>
        </w:tc>
      </w:tr>
      <w:tr>
        <w:tc>
          <w:tcPr>
            <w:tcW w:type="dxa" w:w="1440"/>
            <w:tcW w:type="dxa" w:w="1533"/>
            <w:tcBorders>
              <w:left w:val="nil"/>
              <w:right w:val="nil"/>
              <w:top w:val="nil"/>
              <w:bottom w:val="nil"/>
            </w:tcBorders>
          </w:tcPr>
          <w:p>
            <w:pPr>
              <w:spacing w:before="40" w:after="40" w:line="240" w:lineRule="auto"/>
            </w:pPr>
            <w:r>
              <w:rPr>
                <w:sz w:val="16"/>
              </w:rPr>
              <w:t>S2</w:t>
            </w:r>
          </w:p>
        </w:tc>
        <w:tc>
          <w:tcPr>
            <w:tcW w:type="dxa" w:w="1440"/>
            <w:tcW w:type="dxa" w:w="1746"/>
            <w:tcBorders>
              <w:left w:val="nil"/>
              <w:right w:val="nil"/>
              <w:top w:val="nil"/>
              <w:bottom w:val="nil"/>
            </w:tcBorders>
          </w:tcPr>
          <w:p>
            <w:pPr>
              <w:spacing w:before="40" w:after="40" w:line="240" w:lineRule="auto"/>
            </w:pPr>
            <w:r>
              <w:rPr>
                <w:sz w:val="16"/>
              </w:rPr>
              <w:t>IOC seller (Group A)</w:t>
            </w:r>
          </w:p>
        </w:tc>
        <w:tc>
          <w:tcPr>
            <w:tcW w:type="dxa" w:w="1440"/>
            <w:tcW w:type="dxa" w:w="2306"/>
            <w:tcBorders>
              <w:left w:val="nil"/>
              <w:right w:val="nil"/>
              <w:top w:val="nil"/>
              <w:bottom w:val="nil"/>
            </w:tcBorders>
          </w:tcPr>
          <w:p>
            <w:pPr>
              <w:spacing w:before="40" w:after="40" w:line="240" w:lineRule="auto"/>
            </w:pPr>
            <w:r>
              <w:rPr>
                <w:sz w:val="16"/>
              </w:rPr>
              <w:t>Technical / operational</w:t>
            </w:r>
          </w:p>
        </w:tc>
        <w:tc>
          <w:tcPr>
            <w:tcW w:type="dxa" w:w="1440"/>
            <w:tcW w:type="dxa" w:w="2200"/>
            <w:tcBorders>
              <w:left w:val="nil"/>
              <w:right w:val="nil"/>
              <w:top w:val="nil"/>
              <w:bottom w:val="nil"/>
            </w:tcBorders>
          </w:tcPr>
          <w:p>
            <w:pPr>
              <w:spacing w:before="40" w:after="40" w:line="240" w:lineRule="auto"/>
            </w:pPr>
            <w:r>
              <w:rPr>
                <w:sz w:val="16"/>
              </w:rPr>
              <w:t>Shell to Renaissance</w:t>
            </w:r>
          </w:p>
        </w:tc>
        <w:tc>
          <w:tcPr>
            <w:tcW w:type="dxa" w:w="1440"/>
            <w:tcW w:type="dxa" w:w="2333"/>
            <w:tcBorders>
              <w:left w:val="nil"/>
              <w:right w:val="nil"/>
              <w:top w:val="nil"/>
              <w:bottom w:val="nil"/>
            </w:tcBorders>
          </w:tcPr>
          <w:p>
            <w:pPr>
              <w:spacing w:before="40" w:after="40" w:line="240" w:lineRule="auto"/>
            </w:pPr>
            <w:r>
              <w:rPr>
                <w:sz w:val="16"/>
              </w:rPr>
              <w:t>Directly observed</w:t>
            </w:r>
          </w:p>
        </w:tc>
        <w:tc>
          <w:tcPr>
            <w:tcW w:type="dxa" w:w="1440"/>
            <w:tcW w:type="dxa" w:w="2122"/>
            <w:tcBorders>
              <w:left w:val="nil"/>
              <w:right w:val="nil"/>
              <w:top w:val="nil"/>
              <w:bottom w:val="nil"/>
            </w:tcBorders>
          </w:tcPr>
          <w:p>
            <w:pPr>
              <w:spacing w:before="40" w:after="40" w:line="240" w:lineRule="auto"/>
            </w:pPr>
            <w:r>
              <w:rPr>
                <w:sz w:val="16"/>
              </w:rPr>
              <w:t>Fairly confident</w:t>
            </w:r>
          </w:p>
        </w:tc>
      </w:tr>
      <w:tr>
        <w:tc>
          <w:tcPr>
            <w:tcW w:type="dxa" w:w="1440"/>
            <w:tcW w:type="dxa" w:w="1533"/>
            <w:tcBorders>
              <w:left w:val="nil"/>
              <w:right w:val="nil"/>
              <w:top w:val="nil"/>
              <w:bottom w:val="single" w:sz="8" w:space="0" w:color="000000"/>
            </w:tcBorders>
          </w:tcPr>
          <w:p>
            <w:pPr>
              <w:spacing w:before="40" w:after="40" w:line="240" w:lineRule="auto"/>
            </w:pPr>
            <w:r>
              <w:rPr>
                <w:sz w:val="16"/>
              </w:rPr>
              <w:t>S3</w:t>
            </w:r>
          </w:p>
        </w:tc>
        <w:tc>
          <w:tcPr>
            <w:tcW w:type="dxa" w:w="1440"/>
            <w:tcW w:type="dxa" w:w="1746"/>
            <w:tcBorders>
              <w:left w:val="nil"/>
              <w:right w:val="nil"/>
              <w:top w:val="nil"/>
              <w:bottom w:val="single" w:sz="8" w:space="0" w:color="000000"/>
            </w:tcBorders>
          </w:tcPr>
          <w:p>
            <w:pPr>
              <w:spacing w:before="40" w:after="40" w:line="240" w:lineRule="auto"/>
            </w:pPr>
            <w:r>
              <w:rPr>
                <w:sz w:val="16"/>
              </w:rPr>
              <w:t>IOC seller (Group A)</w:t>
            </w:r>
          </w:p>
        </w:tc>
        <w:tc>
          <w:tcPr>
            <w:tcW w:type="dxa" w:w="1440"/>
            <w:tcW w:type="dxa" w:w="2306"/>
            <w:tcBorders>
              <w:left w:val="nil"/>
              <w:right w:val="nil"/>
              <w:top w:val="nil"/>
              <w:bottom w:val="single" w:sz="8" w:space="0" w:color="000000"/>
            </w:tcBorders>
          </w:tcPr>
          <w:p>
            <w:pPr>
              <w:spacing w:before="40" w:after="40" w:line="240" w:lineRule="auto"/>
            </w:pPr>
            <w:r>
              <w:rPr>
                <w:sz w:val="16"/>
              </w:rPr>
              <w:t>Technical / operational</w:t>
            </w:r>
          </w:p>
        </w:tc>
        <w:tc>
          <w:tcPr>
            <w:tcW w:type="dxa" w:w="1440"/>
            <w:tcW w:type="dxa" w:w="2200"/>
            <w:tcBorders>
              <w:left w:val="nil"/>
              <w:right w:val="nil"/>
              <w:top w:val="nil"/>
              <w:bottom w:val="single" w:sz="8" w:space="0" w:color="000000"/>
            </w:tcBorders>
          </w:tcPr>
          <w:p>
            <w:pPr>
              <w:spacing w:before="40" w:after="40" w:line="240" w:lineRule="auto"/>
            </w:pPr>
            <w:r>
              <w:rPr>
                <w:sz w:val="16"/>
              </w:rPr>
              <w:t>SPDC to Renaissance</w:t>
            </w:r>
          </w:p>
        </w:tc>
        <w:tc>
          <w:tcPr>
            <w:tcW w:type="dxa" w:w="1440"/>
            <w:tcW w:type="dxa" w:w="2333"/>
            <w:tcBorders>
              <w:left w:val="nil"/>
              <w:right w:val="nil"/>
              <w:top w:val="nil"/>
              <w:bottom w:val="single" w:sz="8" w:space="0" w:color="000000"/>
            </w:tcBorders>
          </w:tcPr>
          <w:p>
            <w:pPr>
              <w:spacing w:before="40" w:after="40" w:line="240" w:lineRule="auto"/>
            </w:pPr>
            <w:r>
              <w:rPr>
                <w:sz w:val="16"/>
              </w:rPr>
              <w:t>Directly observed</w:t>
            </w:r>
          </w:p>
        </w:tc>
        <w:tc>
          <w:tcPr>
            <w:tcW w:type="dxa" w:w="1440"/>
            <w:tcW w:type="dxa" w:w="2122"/>
            <w:tcBorders>
              <w:left w:val="nil"/>
              <w:right w:val="nil"/>
              <w:top w:val="nil"/>
              <w:bottom w:val="single" w:sz="8" w:space="0" w:color="000000"/>
            </w:tcBorders>
          </w:tcPr>
          <w:p>
            <w:pPr>
              <w:spacing w:before="40" w:after="40" w:line="240" w:lineRule="auto"/>
            </w:pPr>
            <w:r>
              <w:rPr>
                <w:sz w:val="16"/>
              </w:rPr>
              <w:t>Somewhat confident</w:t>
            </w:r>
          </w:p>
        </w:tc>
      </w:tr>
    </w:tbl>
    <w:p>
      <w:pPr>
        <w:sectPr>
          <w:pgSz w:w="15840" w:h="12240" w:orient="landscape"/>
          <w:pgMar w:top="1440" w:bottom="1440" w:left="1800" w:right="1800" w:header="720" w:footer="720" w:gutter="0"/>
        </w:sectPr>
      </w:pPr>
    </w:p>
    <w:p>
      <w:pPr>
        <w:pStyle w:val="BodyText"/>
      </w:pPr>
      <w:r>
        <w:rPr>
          <w:bCs/>
          <w:b/>
        </w:rPr>
        <w:t xml:space="preserve">Table F.2. Driver rankings by the three completed respondents, where 1 is the most important factor and the respondent’s top-ranked choice is shown in bold. No respondent ranked untransferred capability first; each named a different factor first, and capability placed second, third, and fifth across the three.</w:t>
      </w:r>
    </w:p>
    <w:tbl>
      <w:tblPr>
        <w:tblW w:type="auto" w:w="0"/>
        <w:tblLook w:firstColumn="1" w:firstRow="1" w:lastColumn="0" w:lastRow="0" w:noHBand="0" w:noVBand="1" w:val="04A0"/>
        <w:tblLayout w:type="fixed"/>
        <w:tblW w:type="dxa" w:w="8640"/>
      </w:tblPr>
      <w:tblGrid>
        <w:gridCol w:w="6145"/>
        <w:gridCol w:w="831"/>
        <w:gridCol w:w="831"/>
        <w:gridCol w:w="833"/>
      </w:tblGrid>
      <w:tr>
        <w:tc>
          <w:tcPr>
            <w:tcW w:type="dxa" w:w="2160"/>
            <w:tcW w:type="dxa" w:w="6145"/>
            <w:tcBorders>
              <w:left w:val="nil"/>
              <w:right w:val="nil"/>
              <w:top w:val="single" w:sz="8" w:space="0" w:color="000000"/>
              <w:bottom w:val="single" w:sz="4" w:space="0" w:color="000000"/>
            </w:tcBorders>
          </w:tcPr>
          <w:p>
            <w:pPr>
              <w:spacing w:before="40" w:after="40" w:line="240" w:lineRule="auto"/>
            </w:pPr>
            <w:r>
              <w:rPr>
                <w:b/>
                <w:sz w:val="18"/>
              </w:rPr>
              <w:t>Factor</w:t>
            </w:r>
          </w:p>
        </w:tc>
        <w:tc>
          <w:tcPr>
            <w:tcW w:type="dxa" w:w="2160"/>
            <w:tcW w:type="dxa" w:w="831"/>
            <w:tcBorders>
              <w:left w:val="nil"/>
              <w:right w:val="nil"/>
              <w:top w:val="single" w:sz="8" w:space="0" w:color="000000"/>
              <w:bottom w:val="single" w:sz="4" w:space="0" w:color="000000"/>
            </w:tcBorders>
          </w:tcPr>
          <w:p>
            <w:pPr>
              <w:spacing w:before="40" w:after="40" w:line="240" w:lineRule="auto"/>
            </w:pPr>
            <w:r>
              <w:rPr>
                <w:b/>
                <w:sz w:val="18"/>
              </w:rPr>
              <w:t>S1</w:t>
            </w:r>
          </w:p>
        </w:tc>
        <w:tc>
          <w:tcPr>
            <w:tcW w:type="dxa" w:w="2160"/>
            <w:tcW w:type="dxa" w:w="831"/>
            <w:tcBorders>
              <w:left w:val="nil"/>
              <w:right w:val="nil"/>
              <w:top w:val="single" w:sz="8" w:space="0" w:color="000000"/>
              <w:bottom w:val="single" w:sz="4" w:space="0" w:color="000000"/>
            </w:tcBorders>
          </w:tcPr>
          <w:p>
            <w:pPr>
              <w:spacing w:before="40" w:after="40" w:line="240" w:lineRule="auto"/>
            </w:pPr>
            <w:r>
              <w:rPr>
                <w:b/>
                <w:sz w:val="18"/>
              </w:rPr>
              <w:t>S2</w:t>
            </w:r>
          </w:p>
        </w:tc>
        <w:tc>
          <w:tcPr>
            <w:tcW w:type="dxa" w:w="2160"/>
            <w:tcW w:type="dxa" w:w="833"/>
            <w:tcBorders>
              <w:left w:val="nil"/>
              <w:right w:val="nil"/>
              <w:top w:val="single" w:sz="8" w:space="0" w:color="000000"/>
              <w:bottom w:val="single" w:sz="4" w:space="0" w:color="000000"/>
            </w:tcBorders>
          </w:tcPr>
          <w:p>
            <w:pPr>
              <w:spacing w:before="40" w:after="40" w:line="240" w:lineRule="auto"/>
            </w:pPr>
            <w:r>
              <w:rPr>
                <w:b/>
                <w:sz w:val="18"/>
              </w:rPr>
              <w:t>S3</w:t>
            </w:r>
          </w:p>
        </w:tc>
      </w:tr>
      <w:tr>
        <w:tc>
          <w:tcPr>
            <w:tcW w:type="dxa" w:w="2160"/>
            <w:tcW w:type="dxa" w:w="6145"/>
            <w:tcBorders>
              <w:left w:val="nil"/>
              <w:right w:val="nil"/>
              <w:top w:val="nil"/>
              <w:bottom w:val="nil"/>
            </w:tcBorders>
          </w:tcPr>
          <w:p>
            <w:pPr>
              <w:spacing w:before="40" w:after="40" w:line="240" w:lineRule="auto"/>
            </w:pPr>
            <w:r>
              <w:rPr>
                <w:sz w:val="18"/>
              </w:rPr>
              <w:t>Untransferred operational capability</w:t>
            </w:r>
          </w:p>
        </w:tc>
        <w:tc>
          <w:tcPr>
            <w:tcW w:type="dxa" w:w="2160"/>
            <w:tcW w:type="dxa" w:w="831"/>
            <w:tcBorders>
              <w:left w:val="nil"/>
              <w:right w:val="nil"/>
              <w:top w:val="nil"/>
              <w:bottom w:val="nil"/>
            </w:tcBorders>
          </w:tcPr>
          <w:p>
            <w:pPr>
              <w:spacing w:before="40" w:after="40" w:line="240" w:lineRule="auto"/>
            </w:pPr>
            <w:r>
              <w:rPr>
                <w:sz w:val="18"/>
              </w:rPr>
              <w:t>5</w:t>
            </w:r>
          </w:p>
        </w:tc>
        <w:tc>
          <w:tcPr>
            <w:tcW w:type="dxa" w:w="2160"/>
            <w:tcW w:type="dxa" w:w="831"/>
            <w:tcBorders>
              <w:left w:val="nil"/>
              <w:right w:val="nil"/>
              <w:top w:val="nil"/>
              <w:bottom w:val="nil"/>
            </w:tcBorders>
          </w:tcPr>
          <w:p>
            <w:pPr>
              <w:spacing w:before="40" w:after="40" w:line="240" w:lineRule="auto"/>
            </w:pPr>
            <w:r>
              <w:rPr>
                <w:sz w:val="18"/>
              </w:rPr>
              <w:t>2</w:t>
            </w:r>
          </w:p>
        </w:tc>
        <w:tc>
          <w:tcPr>
            <w:tcW w:type="dxa" w:w="2160"/>
            <w:tcW w:type="dxa" w:w="833"/>
            <w:tcBorders>
              <w:left w:val="nil"/>
              <w:right w:val="nil"/>
              <w:top w:val="nil"/>
              <w:bottom w:val="nil"/>
            </w:tcBorders>
          </w:tcPr>
          <w:p>
            <w:pPr>
              <w:spacing w:before="40" w:after="40" w:line="240" w:lineRule="auto"/>
            </w:pPr>
            <w:r>
              <w:rPr>
                <w:sz w:val="18"/>
              </w:rPr>
              <w:t>3</w:t>
            </w:r>
          </w:p>
        </w:tc>
      </w:tr>
      <w:tr>
        <w:tc>
          <w:tcPr>
            <w:tcW w:type="dxa" w:w="2160"/>
            <w:tcW w:type="dxa" w:w="6145"/>
            <w:tcBorders>
              <w:left w:val="nil"/>
              <w:right w:val="nil"/>
              <w:top w:val="nil"/>
              <w:bottom w:val="nil"/>
            </w:tcBorders>
          </w:tcPr>
          <w:p>
            <w:pPr>
              <w:spacing w:before="40" w:after="40" w:line="240" w:lineRule="auto"/>
            </w:pPr>
            <w:r>
              <w:rPr>
                <w:sz w:val="18"/>
              </w:rPr>
              <w:t>Poor coordination during handover</w:t>
            </w:r>
          </w:p>
        </w:tc>
        <w:tc>
          <w:tcPr>
            <w:tcW w:type="dxa" w:w="2160"/>
            <w:tcW w:type="dxa" w:w="831"/>
            <w:tcBorders>
              <w:left w:val="nil"/>
              <w:right w:val="nil"/>
              <w:top w:val="nil"/>
              <w:bottom w:val="nil"/>
            </w:tcBorders>
          </w:tcPr>
          <w:p>
            <w:pPr>
              <w:spacing w:before="40" w:after="40" w:line="240" w:lineRule="auto"/>
            </w:pPr>
            <w:r>
              <w:rPr>
                <w:sz w:val="18"/>
              </w:rPr>
              <w:t>4</w:t>
            </w:r>
          </w:p>
        </w:tc>
        <w:tc>
          <w:tcPr>
            <w:tcW w:type="dxa" w:w="2160"/>
            <w:tcW w:type="dxa" w:w="831"/>
            <w:tcBorders>
              <w:left w:val="nil"/>
              <w:right w:val="nil"/>
              <w:top w:val="nil"/>
              <w:bottom w:val="nil"/>
            </w:tcBorders>
          </w:tcPr>
          <w:p>
            <w:pPr>
              <w:spacing w:before="40" w:after="40" w:line="240" w:lineRule="auto"/>
            </w:pPr>
            <w:r>
              <w:rPr>
                <w:sz w:val="18"/>
              </w:rPr>
              <w:t>3</w:t>
            </w:r>
          </w:p>
        </w:tc>
        <w:tc>
          <w:tcPr>
            <w:tcW w:type="dxa" w:w="2160"/>
            <w:tcW w:type="dxa" w:w="833"/>
            <w:tcBorders>
              <w:left w:val="nil"/>
              <w:right w:val="nil"/>
              <w:top w:val="nil"/>
              <w:bottom w:val="nil"/>
            </w:tcBorders>
          </w:tcPr>
          <w:p>
            <w:pPr>
              <w:spacing w:before="40" w:after="40" w:line="240" w:lineRule="auto"/>
            </w:pPr>
            <w:r>
              <w:rPr>
                <w:sz w:val="18"/>
              </w:rPr>
              <w:t>5</w:t>
            </w:r>
          </w:p>
        </w:tc>
      </w:tr>
      <w:tr>
        <w:tc>
          <w:tcPr>
            <w:tcW w:type="dxa" w:w="2160"/>
            <w:tcW w:type="dxa" w:w="6145"/>
            <w:tcBorders>
              <w:left w:val="nil"/>
              <w:right w:val="nil"/>
              <w:top w:val="nil"/>
              <w:bottom w:val="nil"/>
            </w:tcBorders>
          </w:tcPr>
          <w:p>
            <w:pPr>
              <w:spacing w:before="40" w:after="40" w:line="240" w:lineRule="auto"/>
            </w:pPr>
            <w:r>
              <w:rPr>
                <w:sz w:val="18"/>
              </w:rPr>
              <w:t>Insufficient capital or financial resources</w:t>
            </w:r>
          </w:p>
        </w:tc>
        <w:tc>
          <w:tcPr>
            <w:tcW w:type="dxa" w:w="2160"/>
            <w:tcW w:type="dxa" w:w="831"/>
            <w:tcBorders>
              <w:left w:val="nil"/>
              <w:right w:val="nil"/>
              <w:top w:val="nil"/>
              <w:bottom w:val="nil"/>
            </w:tcBorders>
          </w:tcPr>
          <w:p>
            <w:pPr>
              <w:spacing w:before="40" w:after="40" w:line="240" w:lineRule="auto"/>
            </w:pPr>
            <w:r>
              <w:rPr>
                <w:sz w:val="18"/>
              </w:rPr>
              <w:t>6</w:t>
            </w:r>
          </w:p>
        </w:tc>
        <w:tc>
          <w:tcPr>
            <w:tcW w:type="dxa" w:w="2160"/>
            <w:tcW w:type="dxa" w:w="831"/>
            <w:tcBorders>
              <w:left w:val="nil"/>
              <w:right w:val="nil"/>
              <w:top w:val="nil"/>
              <w:bottom w:val="nil"/>
            </w:tcBorders>
          </w:tcPr>
          <w:p>
            <w:pPr>
              <w:spacing w:before="40" w:after="40" w:line="240" w:lineRule="auto"/>
            </w:pPr>
            <w:r>
              <w:rPr>
                <w:sz w:val="18"/>
              </w:rPr>
              <w:t>1</w:t>
            </w:r>
          </w:p>
        </w:tc>
        <w:tc>
          <w:tcPr>
            <w:tcW w:type="dxa" w:w="2160"/>
            <w:tcW w:type="dxa" w:w="833"/>
            <w:tcBorders>
              <w:left w:val="nil"/>
              <w:right w:val="nil"/>
              <w:top w:val="nil"/>
              <w:bottom w:val="nil"/>
            </w:tcBorders>
          </w:tcPr>
          <w:p>
            <w:pPr>
              <w:spacing w:before="40" w:after="40" w:line="240" w:lineRule="auto"/>
            </w:pPr>
            <w:r>
              <w:rPr>
                <w:sz w:val="18"/>
              </w:rPr>
              <w:t>7</w:t>
            </w:r>
          </w:p>
        </w:tc>
      </w:tr>
      <w:tr>
        <w:tc>
          <w:tcPr>
            <w:tcW w:type="dxa" w:w="2160"/>
            <w:tcW w:type="dxa" w:w="6145"/>
            <w:tcBorders>
              <w:left w:val="nil"/>
              <w:right w:val="nil"/>
              <w:top w:val="nil"/>
              <w:bottom w:val="nil"/>
            </w:tcBorders>
          </w:tcPr>
          <w:p>
            <w:pPr>
              <w:spacing w:before="40" w:after="40" w:line="240" w:lineRule="auto"/>
            </w:pPr>
            <w:r>
              <w:rPr>
                <w:sz w:val="18"/>
              </w:rPr>
              <w:t>Unfavorable fiscal terms under the PIA</w:t>
            </w:r>
          </w:p>
        </w:tc>
        <w:tc>
          <w:tcPr>
            <w:tcW w:type="dxa" w:w="2160"/>
            <w:tcW w:type="dxa" w:w="831"/>
            <w:tcBorders>
              <w:left w:val="nil"/>
              <w:right w:val="nil"/>
              <w:top w:val="nil"/>
              <w:bottom w:val="nil"/>
            </w:tcBorders>
          </w:tcPr>
          <w:p>
            <w:pPr>
              <w:spacing w:before="40" w:after="40" w:line="240" w:lineRule="auto"/>
            </w:pPr>
            <w:r>
              <w:rPr>
                <w:sz w:val="18"/>
              </w:rPr>
              <w:t>1</w:t>
            </w:r>
          </w:p>
        </w:tc>
        <w:tc>
          <w:tcPr>
            <w:tcW w:type="dxa" w:w="2160"/>
            <w:tcW w:type="dxa" w:w="831"/>
            <w:tcBorders>
              <w:left w:val="nil"/>
              <w:right w:val="nil"/>
              <w:top w:val="nil"/>
              <w:bottom w:val="nil"/>
            </w:tcBorders>
          </w:tcPr>
          <w:p>
            <w:pPr>
              <w:spacing w:before="40" w:after="40" w:line="240" w:lineRule="auto"/>
            </w:pPr>
            <w:r>
              <w:rPr>
                <w:sz w:val="18"/>
              </w:rPr>
              <w:t>6</w:t>
            </w:r>
          </w:p>
        </w:tc>
        <w:tc>
          <w:tcPr>
            <w:tcW w:type="dxa" w:w="2160"/>
            <w:tcW w:type="dxa" w:w="833"/>
            <w:tcBorders>
              <w:left w:val="nil"/>
              <w:right w:val="nil"/>
              <w:top w:val="nil"/>
              <w:bottom w:val="nil"/>
            </w:tcBorders>
          </w:tcPr>
          <w:p>
            <w:pPr>
              <w:spacing w:before="40" w:after="40" w:line="240" w:lineRule="auto"/>
            </w:pPr>
            <w:r>
              <w:rPr>
                <w:sz w:val="18"/>
              </w:rPr>
              <w:t>4</w:t>
            </w:r>
          </w:p>
        </w:tc>
      </w:tr>
      <w:tr>
        <w:tc>
          <w:tcPr>
            <w:tcW w:type="dxa" w:w="2160"/>
            <w:tcW w:type="dxa" w:w="6145"/>
            <w:tcBorders>
              <w:left w:val="nil"/>
              <w:right w:val="nil"/>
              <w:top w:val="nil"/>
              <w:bottom w:val="nil"/>
            </w:tcBorders>
          </w:tcPr>
          <w:p>
            <w:pPr>
              <w:spacing w:before="40" w:after="40" w:line="240" w:lineRule="auto"/>
            </w:pPr>
            <w:r>
              <w:rPr>
                <w:sz w:val="18"/>
              </w:rPr>
              <w:t>Weak regulatory oversight</w:t>
            </w:r>
          </w:p>
        </w:tc>
        <w:tc>
          <w:tcPr>
            <w:tcW w:type="dxa" w:w="2160"/>
            <w:tcW w:type="dxa" w:w="831"/>
            <w:tcBorders>
              <w:left w:val="nil"/>
              <w:right w:val="nil"/>
              <w:top w:val="nil"/>
              <w:bottom w:val="nil"/>
            </w:tcBorders>
          </w:tcPr>
          <w:p>
            <w:pPr>
              <w:spacing w:before="40" w:after="40" w:line="240" w:lineRule="auto"/>
            </w:pPr>
            <w:r>
              <w:rPr>
                <w:sz w:val="18"/>
              </w:rPr>
              <w:t>7</w:t>
            </w:r>
          </w:p>
        </w:tc>
        <w:tc>
          <w:tcPr>
            <w:tcW w:type="dxa" w:w="2160"/>
            <w:tcW w:type="dxa" w:w="831"/>
            <w:tcBorders>
              <w:left w:val="nil"/>
              <w:right w:val="nil"/>
              <w:top w:val="nil"/>
              <w:bottom w:val="nil"/>
            </w:tcBorders>
          </w:tcPr>
          <w:p>
            <w:pPr>
              <w:spacing w:before="40" w:after="40" w:line="240" w:lineRule="auto"/>
            </w:pPr>
            <w:r>
              <w:rPr>
                <w:sz w:val="18"/>
              </w:rPr>
              <w:t>5</w:t>
            </w:r>
          </w:p>
        </w:tc>
        <w:tc>
          <w:tcPr>
            <w:tcW w:type="dxa" w:w="2160"/>
            <w:tcW w:type="dxa" w:w="833"/>
            <w:tcBorders>
              <w:left w:val="nil"/>
              <w:right w:val="nil"/>
              <w:top w:val="nil"/>
              <w:bottom w:val="nil"/>
            </w:tcBorders>
          </w:tcPr>
          <w:p>
            <w:pPr>
              <w:spacing w:before="40" w:after="40" w:line="240" w:lineRule="auto"/>
            </w:pPr>
            <w:r>
              <w:rPr>
                <w:sz w:val="18"/>
              </w:rPr>
              <w:t>2</w:t>
            </w:r>
          </w:p>
        </w:tc>
      </w:tr>
      <w:tr>
        <w:tc>
          <w:tcPr>
            <w:tcW w:type="dxa" w:w="2160"/>
            <w:tcW w:type="dxa" w:w="6145"/>
            <w:tcBorders>
              <w:left w:val="nil"/>
              <w:right w:val="nil"/>
              <w:top w:val="nil"/>
              <w:bottom w:val="nil"/>
            </w:tcBorders>
          </w:tcPr>
          <w:p>
            <w:pPr>
              <w:spacing w:before="40" w:after="40" w:line="240" w:lineRule="auto"/>
            </w:pPr>
            <w:r>
              <w:rPr>
                <w:sz w:val="18"/>
              </w:rPr>
              <w:t>Political interference, security, or oil theft</w:t>
            </w:r>
          </w:p>
        </w:tc>
        <w:tc>
          <w:tcPr>
            <w:tcW w:type="dxa" w:w="2160"/>
            <w:tcW w:type="dxa" w:w="831"/>
            <w:tcBorders>
              <w:left w:val="nil"/>
              <w:right w:val="nil"/>
              <w:top w:val="nil"/>
              <w:bottom w:val="nil"/>
            </w:tcBorders>
          </w:tcPr>
          <w:p>
            <w:pPr>
              <w:spacing w:before="40" w:after="40" w:line="240" w:lineRule="auto"/>
            </w:pPr>
            <w:r>
              <w:rPr>
                <w:sz w:val="18"/>
              </w:rPr>
              <w:t>2</w:t>
            </w:r>
          </w:p>
        </w:tc>
        <w:tc>
          <w:tcPr>
            <w:tcW w:type="dxa" w:w="2160"/>
            <w:tcW w:type="dxa" w:w="831"/>
            <w:tcBorders>
              <w:left w:val="nil"/>
              <w:right w:val="nil"/>
              <w:top w:val="nil"/>
              <w:bottom w:val="nil"/>
            </w:tcBorders>
          </w:tcPr>
          <w:p>
            <w:pPr>
              <w:spacing w:before="40" w:after="40" w:line="240" w:lineRule="auto"/>
            </w:pPr>
            <w:r>
              <w:rPr>
                <w:sz w:val="18"/>
              </w:rPr>
              <w:t>4</w:t>
            </w:r>
          </w:p>
        </w:tc>
        <w:tc>
          <w:tcPr>
            <w:tcW w:type="dxa" w:w="2160"/>
            <w:tcW w:type="dxa" w:w="833"/>
            <w:tcBorders>
              <w:left w:val="nil"/>
              <w:right w:val="nil"/>
              <w:top w:val="nil"/>
              <w:bottom w:val="nil"/>
            </w:tcBorders>
          </w:tcPr>
          <w:p>
            <w:pPr>
              <w:spacing w:before="40" w:after="40" w:line="240" w:lineRule="auto"/>
            </w:pPr>
            <w:r>
              <w:rPr>
                <w:sz w:val="18"/>
              </w:rPr>
              <w:t>1</w:t>
            </w:r>
          </w:p>
        </w:tc>
      </w:tr>
      <w:tr>
        <w:tc>
          <w:tcPr>
            <w:tcW w:type="dxa" w:w="2160"/>
            <w:tcW w:type="dxa" w:w="6145"/>
            <w:tcBorders>
              <w:left w:val="nil"/>
              <w:right w:val="nil"/>
              <w:top w:val="nil"/>
              <w:bottom w:val="single" w:sz="8" w:space="0" w:color="000000"/>
            </w:tcBorders>
          </w:tcPr>
          <w:p>
            <w:pPr>
              <w:spacing w:before="40" w:after="40" w:line="240" w:lineRule="auto"/>
            </w:pPr>
            <w:r>
              <w:rPr>
                <w:sz w:val="18"/>
              </w:rPr>
              <w:t>Asset already aging or in natural decline</w:t>
            </w:r>
          </w:p>
        </w:tc>
        <w:tc>
          <w:tcPr>
            <w:tcW w:type="dxa" w:w="2160"/>
            <w:tcW w:type="dxa" w:w="831"/>
            <w:tcBorders>
              <w:left w:val="nil"/>
              <w:right w:val="nil"/>
              <w:top w:val="nil"/>
              <w:bottom w:val="single" w:sz="8" w:space="0" w:color="000000"/>
            </w:tcBorders>
          </w:tcPr>
          <w:p>
            <w:pPr>
              <w:spacing w:before="40" w:after="40" w:line="240" w:lineRule="auto"/>
            </w:pPr>
            <w:r>
              <w:rPr>
                <w:sz w:val="18"/>
              </w:rPr>
              <w:t>3</w:t>
            </w:r>
          </w:p>
        </w:tc>
        <w:tc>
          <w:tcPr>
            <w:tcW w:type="dxa" w:w="2160"/>
            <w:tcW w:type="dxa" w:w="831"/>
            <w:tcBorders>
              <w:left w:val="nil"/>
              <w:right w:val="nil"/>
              <w:top w:val="nil"/>
              <w:bottom w:val="single" w:sz="8" w:space="0" w:color="000000"/>
            </w:tcBorders>
          </w:tcPr>
          <w:p>
            <w:pPr>
              <w:spacing w:before="40" w:after="40" w:line="240" w:lineRule="auto"/>
            </w:pPr>
            <w:r>
              <w:rPr>
                <w:sz w:val="18"/>
              </w:rPr>
              <w:t>7</w:t>
            </w:r>
          </w:p>
        </w:tc>
        <w:tc>
          <w:tcPr>
            <w:tcW w:type="dxa" w:w="2160"/>
            <w:tcW w:type="dxa" w:w="833"/>
            <w:tcBorders>
              <w:left w:val="nil"/>
              <w:right w:val="nil"/>
              <w:top w:val="nil"/>
              <w:bottom w:val="single" w:sz="8" w:space="0" w:color="000000"/>
            </w:tcBorders>
          </w:tcPr>
          <w:p>
            <w:pPr>
              <w:spacing w:before="40" w:after="40" w:line="240" w:lineRule="auto"/>
            </w:pPr>
            <w:r>
              <w:rPr>
                <w:sz w:val="18"/>
              </w:rPr>
              <w:t>6</w:t>
            </w:r>
          </w:p>
        </w:tc>
      </w:tr>
    </w:tbl>
    <w:p>
      <w:pPr>
        <w:pStyle w:val="BodyText"/>
      </w:pPr>
      <w:r>
        <w:rPr>
          <w:bCs/>
          <w:b/>
        </w:rPr>
        <w:t xml:space="preserve">Table F.3. Counterfactual, policy, and overall-adequacy responses. All three judged that a stronger capability transfer would have improved the outcome, and all three held that capability transfer should be a condition of divestment approval; a capital-only counterfactual drew weaker support.</w:t>
      </w:r>
    </w:p>
    <w:tbl>
      <w:tblPr>
        <w:tblW w:type="auto" w:w="0"/>
        <w:tblLook w:firstColumn="1" w:firstRow="1" w:lastColumn="0" w:lastRow="0" w:noHBand="0" w:noVBand="1" w:val="04A0"/>
        <w:tblLayout w:type="fixed"/>
        <w:tblW w:type="dxa" w:w="8640"/>
      </w:tblPr>
      <w:tblGrid>
        <w:gridCol w:w="1233"/>
        <w:gridCol w:w="2187"/>
        <w:gridCol w:w="1603"/>
        <w:gridCol w:w="1926"/>
        <w:gridCol w:w="1691"/>
      </w:tblGrid>
      <w:tr>
        <w:tc>
          <w:tcPr>
            <w:tcW w:type="dxa" w:w="1728"/>
            <w:tcW w:type="dxa" w:w="1233"/>
            <w:tcBorders>
              <w:left w:val="nil"/>
              <w:right w:val="nil"/>
              <w:top w:val="single" w:sz="8" w:space="0" w:color="000000"/>
              <w:bottom w:val="single" w:sz="4" w:space="0" w:color="000000"/>
            </w:tcBorders>
          </w:tcPr>
          <w:p>
            <w:pPr>
              <w:spacing w:before="40" w:after="40" w:line="240" w:lineRule="auto"/>
            </w:pPr>
            <w:r>
              <w:rPr>
                <w:b/>
                <w:sz w:val="18"/>
              </w:rPr>
              <w:t>Respondent</w:t>
            </w:r>
          </w:p>
        </w:tc>
        <w:tc>
          <w:tcPr>
            <w:tcW w:type="dxa" w:w="1728"/>
            <w:tcW w:type="dxa" w:w="2187"/>
            <w:tcBorders>
              <w:left w:val="nil"/>
              <w:right w:val="nil"/>
              <w:top w:val="single" w:sz="8" w:space="0" w:color="000000"/>
              <w:bottom w:val="single" w:sz="4" w:space="0" w:color="000000"/>
            </w:tcBorders>
          </w:tcPr>
          <w:p>
            <w:pPr>
              <w:spacing w:before="40" w:after="40" w:line="240" w:lineRule="auto"/>
            </w:pPr>
            <w:r>
              <w:rPr>
                <w:b/>
                <w:sz w:val="18"/>
              </w:rPr>
              <w:t>Stronger capability transfer would have improved the outcome?</w:t>
            </w:r>
          </w:p>
        </w:tc>
        <w:tc>
          <w:tcPr>
            <w:tcW w:type="dxa" w:w="1728"/>
            <w:tcW w:type="dxa" w:w="1603"/>
            <w:tcBorders>
              <w:left w:val="nil"/>
              <w:right w:val="nil"/>
              <w:top w:val="single" w:sz="8" w:space="0" w:color="000000"/>
              <w:bottom w:val="single" w:sz="4" w:space="0" w:color="000000"/>
            </w:tcBorders>
          </w:tcPr>
          <w:p>
            <w:pPr>
              <w:spacing w:before="40" w:after="40" w:line="240" w:lineRule="auto"/>
            </w:pPr>
            <w:r>
              <w:rPr>
                <w:b/>
                <w:sz w:val="18"/>
              </w:rPr>
              <w:t>More capital alone would have improved the outcome?</w:t>
            </w:r>
          </w:p>
        </w:tc>
        <w:tc>
          <w:tcPr>
            <w:tcW w:type="dxa" w:w="1728"/>
            <w:tcW w:type="dxa" w:w="1926"/>
            <w:tcBorders>
              <w:left w:val="nil"/>
              <w:right w:val="nil"/>
              <w:top w:val="single" w:sz="8" w:space="0" w:color="000000"/>
              <w:bottom w:val="single" w:sz="4" w:space="0" w:color="000000"/>
            </w:tcBorders>
          </w:tcPr>
          <w:p>
            <w:pPr>
              <w:spacing w:before="40" w:after="40" w:line="240" w:lineRule="auto"/>
            </w:pPr>
            <w:r>
              <w:rPr>
                <w:b/>
                <w:sz w:val="18"/>
              </w:rPr>
              <w:t>Capability transfer a condition of divestment approval?</w:t>
            </w:r>
          </w:p>
        </w:tc>
        <w:tc>
          <w:tcPr>
            <w:tcW w:type="dxa" w:w="1728"/>
            <w:tcW w:type="dxa" w:w="1691"/>
            <w:tcBorders>
              <w:left w:val="nil"/>
              <w:right w:val="nil"/>
              <w:top w:val="single" w:sz="8" w:space="0" w:color="000000"/>
              <w:bottom w:val="single" w:sz="4" w:space="0" w:color="000000"/>
            </w:tcBorders>
          </w:tcPr>
          <w:p>
            <w:pPr>
              <w:spacing w:before="40" w:after="40" w:line="240" w:lineRule="auto"/>
            </w:pPr>
            <w:r>
              <w:rPr>
                <w:b/>
                <w:sz w:val="18"/>
              </w:rPr>
              <w:t>Adequacy of the capability transfer observed</w:t>
            </w:r>
          </w:p>
        </w:tc>
      </w:tr>
      <w:tr>
        <w:tc>
          <w:tcPr>
            <w:tcW w:type="dxa" w:w="1728"/>
            <w:tcW w:type="dxa" w:w="1233"/>
            <w:tcBorders>
              <w:left w:val="nil"/>
              <w:right w:val="nil"/>
              <w:top w:val="nil"/>
              <w:bottom w:val="nil"/>
            </w:tcBorders>
          </w:tcPr>
          <w:p>
            <w:pPr>
              <w:spacing w:before="40" w:after="40" w:line="240" w:lineRule="auto"/>
            </w:pPr>
            <w:r>
              <w:rPr>
                <w:sz w:val="18"/>
              </w:rPr>
              <w:t>S1</w:t>
            </w:r>
          </w:p>
        </w:tc>
        <w:tc>
          <w:tcPr>
            <w:tcW w:type="dxa" w:w="1728"/>
            <w:tcW w:type="dxa" w:w="2187"/>
            <w:tcBorders>
              <w:left w:val="nil"/>
              <w:right w:val="nil"/>
              <w:top w:val="nil"/>
              <w:bottom w:val="nil"/>
            </w:tcBorders>
          </w:tcPr>
          <w:p>
            <w:pPr>
              <w:spacing w:before="40" w:after="40" w:line="240" w:lineRule="auto"/>
            </w:pPr>
            <w:r>
              <w:rPr>
                <w:sz w:val="18"/>
              </w:rPr>
              <w:t>Yes, somewhat</w:t>
            </w:r>
          </w:p>
        </w:tc>
        <w:tc>
          <w:tcPr>
            <w:tcW w:type="dxa" w:w="1728"/>
            <w:tcW w:type="dxa" w:w="1603"/>
            <w:tcBorders>
              <w:left w:val="nil"/>
              <w:right w:val="nil"/>
              <w:top w:val="nil"/>
              <w:bottom w:val="nil"/>
            </w:tcBorders>
          </w:tcPr>
          <w:p>
            <w:pPr>
              <w:spacing w:before="40" w:after="40" w:line="240" w:lineRule="auto"/>
            </w:pPr>
            <w:r>
              <w:rPr>
                <w:sz w:val="18"/>
              </w:rPr>
              <w:t>Yes, somewhat</w:t>
            </w:r>
          </w:p>
        </w:tc>
        <w:tc>
          <w:tcPr>
            <w:tcW w:type="dxa" w:w="1728"/>
            <w:tcW w:type="dxa" w:w="1926"/>
            <w:tcBorders>
              <w:left w:val="nil"/>
              <w:right w:val="nil"/>
              <w:top w:val="nil"/>
              <w:bottom w:val="nil"/>
            </w:tcBorders>
          </w:tcPr>
          <w:p>
            <w:pPr>
              <w:spacing w:before="40" w:after="40" w:line="240" w:lineRule="auto"/>
            </w:pPr>
            <w:r>
              <w:rPr>
                <w:sz w:val="18"/>
              </w:rPr>
              <w:t>Strongly recommended</w:t>
            </w:r>
          </w:p>
        </w:tc>
        <w:tc>
          <w:tcPr>
            <w:tcW w:type="dxa" w:w="1728"/>
            <w:tcW w:type="dxa" w:w="1691"/>
            <w:tcBorders>
              <w:left w:val="nil"/>
              <w:right w:val="nil"/>
              <w:top w:val="nil"/>
              <w:bottom w:val="nil"/>
            </w:tcBorders>
          </w:tcPr>
          <w:p>
            <w:pPr>
              <w:spacing w:before="40" w:after="40" w:line="240" w:lineRule="auto"/>
            </w:pPr>
            <w:r>
              <w:rPr>
                <w:sz w:val="18"/>
              </w:rPr>
              <w:t>Mostly adequate</w:t>
            </w:r>
          </w:p>
        </w:tc>
      </w:tr>
      <w:tr>
        <w:tc>
          <w:tcPr>
            <w:tcW w:type="dxa" w:w="1728"/>
            <w:tcW w:type="dxa" w:w="1233"/>
            <w:tcBorders>
              <w:left w:val="nil"/>
              <w:right w:val="nil"/>
              <w:top w:val="nil"/>
              <w:bottom w:val="nil"/>
            </w:tcBorders>
          </w:tcPr>
          <w:p>
            <w:pPr>
              <w:spacing w:before="40" w:after="40" w:line="240" w:lineRule="auto"/>
            </w:pPr>
            <w:r>
              <w:rPr>
                <w:sz w:val="18"/>
              </w:rPr>
              <w:t>S2</w:t>
            </w:r>
          </w:p>
        </w:tc>
        <w:tc>
          <w:tcPr>
            <w:tcW w:type="dxa" w:w="1728"/>
            <w:tcW w:type="dxa" w:w="2187"/>
            <w:tcBorders>
              <w:left w:val="nil"/>
              <w:right w:val="nil"/>
              <w:top w:val="nil"/>
              <w:bottom w:val="nil"/>
            </w:tcBorders>
          </w:tcPr>
          <w:p>
            <w:pPr>
              <w:spacing w:before="40" w:after="40" w:line="240" w:lineRule="auto"/>
            </w:pPr>
            <w:r>
              <w:rPr>
                <w:sz w:val="18"/>
              </w:rPr>
              <w:t>Yes, somewhat</w:t>
            </w:r>
          </w:p>
        </w:tc>
        <w:tc>
          <w:tcPr>
            <w:tcW w:type="dxa" w:w="1728"/>
            <w:tcW w:type="dxa" w:w="1603"/>
            <w:tcBorders>
              <w:left w:val="nil"/>
              <w:right w:val="nil"/>
              <w:top w:val="nil"/>
              <w:bottom w:val="nil"/>
            </w:tcBorders>
          </w:tcPr>
          <w:p>
            <w:pPr>
              <w:spacing w:before="40" w:after="40" w:line="240" w:lineRule="auto"/>
            </w:pPr>
            <w:r>
              <w:rPr>
                <w:sz w:val="18"/>
              </w:rPr>
              <w:t>No</w:t>
            </w:r>
          </w:p>
        </w:tc>
        <w:tc>
          <w:tcPr>
            <w:tcW w:type="dxa" w:w="1728"/>
            <w:tcW w:type="dxa" w:w="1926"/>
            <w:tcBorders>
              <w:left w:val="nil"/>
              <w:right w:val="nil"/>
              <w:top w:val="nil"/>
              <w:bottom w:val="nil"/>
            </w:tcBorders>
          </w:tcPr>
          <w:p>
            <w:pPr>
              <w:spacing w:before="40" w:after="40" w:line="240" w:lineRule="auto"/>
            </w:pPr>
            <w:r>
              <w:rPr>
                <w:sz w:val="18"/>
              </w:rPr>
              <w:t>Mandatory</w:t>
            </w:r>
          </w:p>
        </w:tc>
        <w:tc>
          <w:tcPr>
            <w:tcW w:type="dxa" w:w="1728"/>
            <w:tcW w:type="dxa" w:w="1691"/>
            <w:tcBorders>
              <w:left w:val="nil"/>
              <w:right w:val="nil"/>
              <w:top w:val="nil"/>
              <w:bottom w:val="nil"/>
            </w:tcBorders>
          </w:tcPr>
          <w:p>
            <w:pPr>
              <w:spacing w:before="40" w:after="40" w:line="240" w:lineRule="auto"/>
            </w:pPr>
            <w:r>
              <w:rPr>
                <w:sz w:val="18"/>
              </w:rPr>
              <w:t>Very adequate</w:t>
            </w:r>
          </w:p>
        </w:tc>
      </w:tr>
      <w:tr>
        <w:tc>
          <w:tcPr>
            <w:tcW w:type="dxa" w:w="1728"/>
            <w:tcW w:type="dxa" w:w="1233"/>
            <w:tcBorders>
              <w:left w:val="nil"/>
              <w:right w:val="nil"/>
              <w:top w:val="nil"/>
              <w:bottom w:val="single" w:sz="8" w:space="0" w:color="000000"/>
            </w:tcBorders>
          </w:tcPr>
          <w:p>
            <w:pPr>
              <w:spacing w:before="40" w:after="40" w:line="240" w:lineRule="auto"/>
            </w:pPr>
            <w:r>
              <w:rPr>
                <w:sz w:val="18"/>
              </w:rPr>
              <w:t>S3</w:t>
            </w:r>
          </w:p>
        </w:tc>
        <w:tc>
          <w:tcPr>
            <w:tcW w:type="dxa" w:w="1728"/>
            <w:tcW w:type="dxa" w:w="2187"/>
            <w:tcBorders>
              <w:left w:val="nil"/>
              <w:right w:val="nil"/>
              <w:top w:val="nil"/>
              <w:bottom w:val="single" w:sz="8" w:space="0" w:color="000000"/>
            </w:tcBorders>
          </w:tcPr>
          <w:p>
            <w:pPr>
              <w:spacing w:before="40" w:after="40" w:line="240" w:lineRule="auto"/>
            </w:pPr>
            <w:r>
              <w:rPr>
                <w:sz w:val="18"/>
              </w:rPr>
              <w:t>Yes, significantly</w:t>
            </w:r>
          </w:p>
        </w:tc>
        <w:tc>
          <w:tcPr>
            <w:tcW w:type="dxa" w:w="1728"/>
            <w:tcW w:type="dxa" w:w="1603"/>
            <w:tcBorders>
              <w:left w:val="nil"/>
              <w:right w:val="nil"/>
              <w:top w:val="nil"/>
              <w:bottom w:val="single" w:sz="8" w:space="0" w:color="000000"/>
            </w:tcBorders>
          </w:tcPr>
          <w:p>
            <w:pPr>
              <w:spacing w:before="40" w:after="40" w:line="240" w:lineRule="auto"/>
            </w:pPr>
            <w:r>
              <w:rPr>
                <w:sz w:val="18"/>
              </w:rPr>
              <w:t>Yes, somewhat</w:t>
            </w:r>
          </w:p>
        </w:tc>
        <w:tc>
          <w:tcPr>
            <w:tcW w:type="dxa" w:w="1728"/>
            <w:tcW w:type="dxa" w:w="1926"/>
            <w:tcBorders>
              <w:left w:val="nil"/>
              <w:right w:val="nil"/>
              <w:top w:val="nil"/>
              <w:bottom w:val="single" w:sz="8" w:space="0" w:color="000000"/>
            </w:tcBorders>
          </w:tcPr>
          <w:p>
            <w:pPr>
              <w:spacing w:before="40" w:after="40" w:line="240" w:lineRule="auto"/>
            </w:pPr>
            <w:r>
              <w:rPr>
                <w:sz w:val="18"/>
              </w:rPr>
              <w:t>Mandatory</w:t>
            </w:r>
          </w:p>
        </w:tc>
        <w:tc>
          <w:tcPr>
            <w:tcW w:type="dxa" w:w="1728"/>
            <w:tcW w:type="dxa" w:w="1691"/>
            <w:tcBorders>
              <w:left w:val="nil"/>
              <w:right w:val="nil"/>
              <w:top w:val="nil"/>
              <w:bottom w:val="single" w:sz="8" w:space="0" w:color="000000"/>
            </w:tcBorders>
          </w:tcPr>
          <w:p>
            <w:pPr>
              <w:spacing w:before="40" w:after="40" w:line="240" w:lineRule="auto"/>
            </w:pPr>
            <w:r>
              <w:rPr>
                <w:sz w:val="18"/>
              </w:rPr>
              <w:t>Mostly adequate</w:t>
            </w:r>
          </w:p>
        </w:tc>
      </w:tr>
    </w:tbl>
    <w:p>
      <w:pPr>
        <w:pStyle w:val="BodyText"/>
      </w:pPr>
      <w:r>
        <w:t xml:space="preserve">The instrument’s open-text fields were largely left blank. The one substantive free-text entry came from S2, who, having ranked capital first, explained the choice by reference to the borrowing power of the new owners relative to the financial reserves of the divesting major. The supporting-evidence, disconfirmation, and additional-requirement fields were not completed by any of the three respondents.</w:t>
      </w:r>
    </w:p>
    <w:bookmarkEnd w:id="2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2026-06-22T17:23:18Z</dcterms:created>
  <dcterms:modified xsi:type="dcterms:W3CDTF">2026-06-22T17:23:18Z</dcterms:modified>
</cp:coreProperties>
</file>

<file path=docProps/custom.xml><?xml version="1.0" encoding="utf-8"?>
<Properties xmlns="http://schemas.openxmlformats.org/officeDocument/2006/custom-properties" xmlns:vt="http://schemas.openxmlformats.org/officeDocument/2006/docPropsVTypes"/>
</file>