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b59a2358136b7e39944af4822e87a20b1c0ae3"/>
    <w:p>
      <w:pPr>
        <w:pStyle w:val="Heading1"/>
      </w:pPr>
      <w:r>
        <w:t xml:space="preserve">Appendix G. Capability Element Traceability Matrix</w:t>
      </w:r>
    </w:p>
    <w:bookmarkStart w:id="20" w:name="how-the-matrix-is-built"/>
    <w:p>
      <w:pPr>
        <w:pStyle w:val="Heading2"/>
      </w:pPr>
      <w:r>
        <w:t xml:space="preserve">How the Matrix Is Built</w:t>
      </w:r>
    </w:p>
    <w:p>
      <w:pPr>
        <w:pStyle w:val="FirstParagraph"/>
      </w:pPr>
      <w:r>
        <w:t xml:space="preserve">The matrix below is the auditable bridge behind Table 5.3 and the transfer-design obligations in Section 5.4. For each element of operating capability it shows four things: the interorganizational knowledge-transfer (IKT) factor that governs whether the element survives a handover, what the Chapter 4 cases reveal about that element, which existing Nigerian legal instrument already touches it, and which dimension of national value it protects. Read top to bottom, it traces the chapter’s central chain: a transfer-process failure degrades a specific capability element, the degraded element surfaces as a measurable outcome, and an existing legal hook can be re-specified to require that the element be disclosed, absorbed, and verified.</w:t>
      </w:r>
    </w:p>
    <w:p>
      <w:pPr>
        <w:pStyle w:val="BodyText"/>
      </w:pPr>
      <w:r>
        <w:rPr>
          <w:bCs/>
          <w:b/>
        </w:rPr>
        <w:t xml:space="preserve">Two axes.</w:t>
      </w:r>
      <w:r>
        <w:t xml:space="preserve"> </w:t>
      </w:r>
      <w:r>
        <w:t xml:space="preserve">The rows are the 20 elements of Risk-Based Process Safety (RBPS), grouped under its four pillars, supplying the integrity-management backbone; the governing-IKT-element column carries the transfer-process determinants, paired with each RBPS element as coded by Ferreira et al. Production performance, which Chapter 4 also treats as value at risk, is carried by the Production and subsurface operating-capability row in Table 5.3 and the V1 and V7 tags below, so the matrix protects production capability and national production resilience, not integrity alone.</w:t>
      </w:r>
    </w:p>
    <w:p>
      <w:pPr>
        <w:pStyle w:val="BodyText"/>
      </w:pPr>
      <w:r>
        <w:rPr>
          <w:bCs/>
          <w:b/>
        </w:rPr>
        <w:t xml:space="preserve">Sources.</w:t>
      </w:r>
      <w:r>
        <w:t xml:space="preserve"> </w:t>
      </w:r>
      <w:r>
        <w:t xml:space="preserve">RBPS pillars and elements: CCPS (2007). IKT elements, their criticality, and the IKT-to-RBPS associations: Ferreira et al. (2024, IEEE Transactions on Engineering Management) and the process-safety content analysis in Ferreira et al. (2026, Journal of Loss Prevention in the Process Industries), Tables 3 through 5. Chapter 4 findings: this thesis. Legal hooks: PIA 2021; NUPRC Assignment of Interests Regulations 2024 (Reg. 7); the NUPRC Upstream Asset Divestment and Exit Guidance Framework (the seven cardinal pillars); NOGICD 2010. This is an original synthesis; no source exhibit is reproduced.</w:t>
      </w:r>
    </w:p>
    <w:p>
      <w:pPr>
        <w:pStyle w:val="BodyText"/>
      </w:pPr>
      <w:r>
        <w:rPr>
          <w:bCs/>
          <w:b/>
        </w:rPr>
        <w:t xml:space="preserve">Coverage and honesty note.</w:t>
      </w:r>
      <w:r>
        <w:t xml:space="preserve"> </w:t>
      </w:r>
      <w:r>
        <w:t xml:space="preserve">The 2026 content analysis directly codes IKT-to-RBPS associations for 10 of the 20 RBPS elements. For those 10, the governing IKT element is the authors’ coded result. For the remaining 10, no direct coding exists; the governing IKT element is inferred from the nearest coded element and the association is carried by this thesis’s own cases and the legal hooks. Every such row is marked</w:t>
      </w:r>
      <w:r>
        <w:t xml:space="preserve"> </w:t>
      </w:r>
      <w:r>
        <w:rPr>
          <w:bCs/>
          <w:b/>
        </w:rPr>
        <w:t xml:space="preserve">[extended]</w:t>
      </w:r>
      <w:r>
        <w:t xml:space="preserve"> </w:t>
      </w:r>
      <w:r>
        <w:t xml:space="preserve">so the reader can separate the published bridge from the thesis’s extension of it.</w:t>
      </w:r>
    </w:p>
    <w:bookmarkEnd w:id="20"/>
    <w:bookmarkStart w:id="21" w:name="value-dimension-legend"/>
    <w:p>
      <w:pPr>
        <w:pStyle w:val="Heading2"/>
      </w:pPr>
      <w:r>
        <w:t xml:space="preserve">Value-Dimension Legend</w:t>
      </w:r>
    </w:p>
    <w:p>
      <w:pPr>
        <w:pStyle w:val="FirstParagraph"/>
      </w:pPr>
      <w:r>
        <w:rPr>
          <w:bCs/>
          <w:b/>
        </w:rPr>
        <w:t xml:space="preserve">Internalized by the operator (demonstrated in Chapter 4):</w:t>
      </w:r>
      <w:r>
        <w:t xml:space="preserve"> </w:t>
      </w:r>
      <w:r>
        <w:t xml:space="preserve">V1 Production performance · V2 Operational integrity and reliability.</w:t>
      </w:r>
    </w:p>
    <w:p>
      <w:pPr>
        <w:pStyle w:val="BodyText"/>
      </w:pPr>
      <w:r>
        <w:rPr>
          <w:bCs/>
          <w:b/>
        </w:rPr>
        <w:t xml:space="preserve">Externalized onto others (warranted):</w:t>
      </w:r>
      <w:r>
        <w:t xml:space="preserve"> </w:t>
      </w:r>
      <w:r>
        <w:t xml:space="preserve">V3 Safety and environmental harm to third parties · V4 Host-community welfare · V5 National capability development (local content) · V6 Fiscal and public-revenue protection · V7 Energy security and national production resilience · V8 Decommissioning and abandonment responsibility.</w:t>
      </w:r>
    </w:p>
    <w:p>
      <w:pPr>
        <w:pStyle w:val="BodyText"/>
      </w:pPr>
      <w:r>
        <w:t xml:space="preserve">(Calibration carried from Table 5.1:</w:t>
      </w:r>
      <w:r>
        <w:t xml:space="preserve"> </w:t>
      </w:r>
      <w:r>
        <w:rPr>
          <w:bCs/>
          <w:b/>
        </w:rPr>
        <w:t xml:space="preserve">V1 and V2 are demonstrated</w:t>
      </w:r>
      <w:r>
        <w:t xml:space="preserve"> </w:t>
      </w:r>
      <w:r>
        <w:t xml:space="preserve">by Chapter 4, its two outcome dimensions;</w:t>
      </w:r>
      <w:r>
        <w:t xml:space="preserve"> </w:t>
      </w:r>
      <w:r>
        <w:rPr>
          <w:bCs/>
          <w:b/>
        </w:rPr>
        <w:t xml:space="preserve">V3 through V8 are warranted</w:t>
      </w:r>
      <w:r>
        <w:t xml:space="preserve">;</w:t>
      </w:r>
      <w:r>
        <w:t xml:space="preserve"> </w:t>
      </w:r>
      <w:r>
        <w:rPr>
          <w:bCs/>
          <w:b/>
        </w:rPr>
        <w:t xml:space="preserve">V7 carries the external theft, sabotage, and price confound</w:t>
      </w:r>
      <w:r>
        <w:t xml:space="preserve">;</w:t>
      </w:r>
      <w:r>
        <w:t xml:space="preserve"> </w:t>
      </w:r>
      <w:r>
        <w:rPr>
          <w:bCs/>
          <w:b/>
        </w:rPr>
        <w:t xml:space="preserve">V8 carries a financial-security mandate</w:t>
      </w:r>
      <w:r>
        <w:t xml:space="preserve">. The dimensions are ordered by incidence, internalized then externalized: most of the value at risk is borne by parties outside the transaction. The matrix maps which capability element protects which dimension; it does not upgrade a warranted dimension to a demonstrated one.)</w:t>
      </w:r>
    </w:p>
    <w:bookmarkEnd w:id="21"/>
    <w:bookmarkStart w:id="22" w:name="Xd3ff7b6a271fedc4f5ccc86e71c313a2e336450"/>
    <w:p>
      <w:pPr>
        <w:pStyle w:val="Heading2"/>
      </w:pPr>
      <w:r>
        <w:t xml:space="preserve">Criticality Tiers of the Transfer-Process Elements</w:t>
      </w:r>
    </w:p>
    <w:p>
      <w:pPr>
        <w:pStyle w:val="FirstParagraph"/>
      </w:pPr>
      <w:r>
        <w:rPr>
          <w:bCs/>
          <w:b/>
        </w:rPr>
        <w:t xml:space="preserve">Table G.1. Criticality tiers for the transfer-process elements and the design consequence of each.</w:t>
      </w:r>
    </w:p>
    <w:tbl>
      <w:tblPr>
        <w:tblW w:type="auto" w:w="0"/>
        <w:tblLook w:firstColumn="1" w:firstRow="1" w:lastColumn="0" w:lastRow="0" w:noHBand="0" w:noVBand="1" w:val="04A0"/>
        <w:tblLayout w:type="fixed"/>
        <w:tblW w:type="dxa" w:w="8640"/>
      </w:tblPr>
      <w:tblGrid>
        <w:gridCol w:w="2469"/>
        <w:gridCol w:w="3258"/>
        <w:gridCol w:w="2913"/>
      </w:tblGrid>
      <w:tr>
        <w:tc>
          <w:tcPr>
            <w:tcW w:type="dxa" w:w="2880"/>
            <w:tcW w:type="dxa" w:w="2469"/>
            <w:tcBorders>
              <w:left w:val="nil"/>
              <w:right w:val="nil"/>
              <w:top w:val="single" w:sz="8" w:space="0" w:color="000000"/>
              <w:bottom w:val="single" w:sz="4" w:space="0" w:color="000000"/>
            </w:tcBorders>
          </w:tcPr>
          <w:p>
            <w:pPr>
              <w:spacing w:before="40" w:after="40" w:line="240" w:lineRule="auto"/>
            </w:pPr>
            <w:r>
              <w:rPr>
                <w:b/>
                <w:sz w:val="18"/>
              </w:rPr>
              <w:t>Tier</w:t>
            </w:r>
          </w:p>
        </w:tc>
        <w:tc>
          <w:tcPr>
            <w:tcW w:type="dxa" w:w="2880"/>
            <w:tcW w:type="dxa" w:w="3258"/>
            <w:tcBorders>
              <w:left w:val="nil"/>
              <w:right w:val="nil"/>
              <w:top w:val="single" w:sz="8" w:space="0" w:color="000000"/>
              <w:bottom w:val="single" w:sz="4" w:space="0" w:color="000000"/>
            </w:tcBorders>
          </w:tcPr>
          <w:p>
            <w:pPr>
              <w:spacing w:before="40" w:after="40" w:line="240" w:lineRule="auto"/>
            </w:pPr>
            <w:r>
              <w:rPr>
                <w:b/>
                <w:sz w:val="18"/>
              </w:rPr>
              <w:t>IKT elements</w:t>
            </w:r>
          </w:p>
        </w:tc>
        <w:tc>
          <w:tcPr>
            <w:tcW w:type="dxa" w:w="2880"/>
            <w:tcW w:type="dxa" w:w="2913"/>
            <w:tcBorders>
              <w:left w:val="nil"/>
              <w:right w:val="nil"/>
              <w:top w:val="single" w:sz="8" w:space="0" w:color="000000"/>
              <w:bottom w:val="single" w:sz="4" w:space="0" w:color="000000"/>
            </w:tcBorders>
          </w:tcPr>
          <w:p>
            <w:pPr>
              <w:spacing w:before="40" w:after="40" w:line="240" w:lineRule="auto"/>
            </w:pPr>
            <w:r>
              <w:rPr>
                <w:b/>
                <w:sz w:val="18"/>
              </w:rPr>
              <w:t>Design consequence</w:t>
            </w:r>
          </w:p>
        </w:tc>
      </w:tr>
      <w:tr>
        <w:tc>
          <w:tcPr>
            <w:tcW w:type="dxa" w:w="2880"/>
            <w:tcW w:type="dxa" w:w="2469"/>
            <w:tcBorders>
              <w:left w:val="nil"/>
              <w:right w:val="nil"/>
              <w:top w:val="nil"/>
              <w:bottom w:val="nil"/>
            </w:tcBorders>
          </w:tcPr>
          <w:p>
            <w:pPr>
              <w:spacing w:before="40" w:after="40" w:line="240" w:lineRule="auto"/>
            </w:pPr>
            <w:r>
              <w:rPr>
                <w:sz w:val="18"/>
              </w:rPr>
              <w:t>Most critical (buyer cannot remedy alone)</w:t>
            </w:r>
          </w:p>
        </w:tc>
        <w:tc>
          <w:tcPr>
            <w:tcW w:type="dxa" w:w="2880"/>
            <w:tcW w:type="dxa" w:w="3258"/>
            <w:tcBorders>
              <w:left w:val="nil"/>
              <w:right w:val="nil"/>
              <w:top w:val="nil"/>
              <w:bottom w:val="nil"/>
            </w:tcBorders>
          </w:tcPr>
          <w:p>
            <w:pPr>
              <w:spacing w:before="40" w:after="40" w:line="240" w:lineRule="auto"/>
            </w:pPr>
            <w:r>
              <w:rPr>
                <w:sz w:val="18"/>
              </w:rPr>
              <w:t>Contractual characteristics; Decision-making characteristics; Transfer period; Availability; Proactivity; Provision of resources; Responsibility for the transfer; Access to databases</w:t>
            </w:r>
          </w:p>
        </w:tc>
        <w:tc>
          <w:tcPr>
            <w:tcW w:type="dxa" w:w="2880"/>
            <w:tcW w:type="dxa" w:w="2913"/>
            <w:tcBorders>
              <w:left w:val="nil"/>
              <w:right w:val="nil"/>
              <w:top w:val="nil"/>
              <w:bottom w:val="nil"/>
            </w:tcBorders>
          </w:tcPr>
          <w:p>
            <w:pPr>
              <w:spacing w:before="40" w:after="40" w:line="240" w:lineRule="auto"/>
            </w:pPr>
            <w:r>
              <w:rPr>
                <w:sz w:val="18"/>
              </w:rPr>
              <w:t>Mandatory seller and transfer-structure obligations</w:t>
            </w:r>
          </w:p>
        </w:tc>
      </w:tr>
      <w:tr>
        <w:tc>
          <w:tcPr>
            <w:tcW w:type="dxa" w:w="2880"/>
            <w:tcW w:type="dxa" w:w="2469"/>
            <w:tcBorders>
              <w:left w:val="nil"/>
              <w:right w:val="nil"/>
              <w:top w:val="nil"/>
              <w:bottom w:val="nil"/>
            </w:tcBorders>
          </w:tcPr>
          <w:p>
            <w:pPr>
              <w:spacing w:before="40" w:after="40" w:line="240" w:lineRule="auto"/>
            </w:pPr>
            <w:r>
              <w:rPr>
                <w:sz w:val="18"/>
              </w:rPr>
              <w:t>Manageable</w:t>
            </w:r>
          </w:p>
        </w:tc>
        <w:tc>
          <w:tcPr>
            <w:tcW w:type="dxa" w:w="2880"/>
            <w:tcW w:type="dxa" w:w="3258"/>
            <w:tcBorders>
              <w:left w:val="nil"/>
              <w:right w:val="nil"/>
              <w:top w:val="nil"/>
              <w:bottom w:val="nil"/>
            </w:tcBorders>
          </w:tcPr>
          <w:p>
            <w:pPr>
              <w:spacing w:before="40" w:after="40" w:line="240" w:lineRule="auto"/>
            </w:pPr>
            <w:r>
              <w:rPr>
                <w:sz w:val="18"/>
              </w:rPr>
              <w:t>Degree of similarity; Identification of training needs; Transfer objectives; Transfer scope; Evaluation mechanism and method; Definition of routines; Mechanisms used; Alignment</w:t>
            </w:r>
          </w:p>
        </w:tc>
        <w:tc>
          <w:tcPr>
            <w:tcW w:type="dxa" w:w="2880"/>
            <w:tcW w:type="dxa" w:w="2913"/>
            <w:tcBorders>
              <w:left w:val="nil"/>
              <w:right w:val="nil"/>
              <w:top w:val="nil"/>
              <w:bottom w:val="nil"/>
            </w:tcBorders>
          </w:tcPr>
          <w:p>
            <w:pPr>
              <w:spacing w:before="40" w:after="40" w:line="240" w:lineRule="auto"/>
            </w:pPr>
            <w:r>
              <w:rPr>
                <w:sz w:val="18"/>
              </w:rPr>
              <w:t>Proportionate buyer obligations</w:t>
            </w:r>
          </w:p>
        </w:tc>
      </w:tr>
      <w:tr>
        <w:tc>
          <w:tcPr>
            <w:tcW w:type="dxa" w:w="2880"/>
            <w:tcW w:type="dxa" w:w="2469"/>
            <w:tcBorders>
              <w:left w:val="nil"/>
              <w:right w:val="nil"/>
              <w:top w:val="nil"/>
              <w:bottom w:val="nil"/>
            </w:tcBorders>
          </w:tcPr>
          <w:p>
            <w:pPr>
              <w:spacing w:before="40" w:after="40" w:line="240" w:lineRule="auto"/>
            </w:pPr>
            <w:r>
              <w:rPr>
                <w:sz w:val="18"/>
              </w:rPr>
              <w:t>Facilitators</w:t>
            </w:r>
          </w:p>
        </w:tc>
        <w:tc>
          <w:tcPr>
            <w:tcW w:type="dxa" w:w="2880"/>
            <w:tcW w:type="dxa" w:w="3258"/>
            <w:tcBorders>
              <w:left w:val="nil"/>
              <w:right w:val="nil"/>
              <w:top w:val="nil"/>
              <w:bottom w:val="nil"/>
            </w:tcBorders>
          </w:tcPr>
          <w:p>
            <w:pPr>
              <w:spacing w:before="40" w:after="40" w:line="240" w:lineRule="auto"/>
            </w:pPr>
            <w:r>
              <w:rPr>
                <w:sz w:val="18"/>
              </w:rPr>
              <w:t>Previous experiences; Lessons learned; Due diligence; Conflict resolution</w:t>
            </w:r>
          </w:p>
        </w:tc>
        <w:tc>
          <w:tcPr>
            <w:tcW w:type="dxa" w:w="2880"/>
            <w:tcW w:type="dxa" w:w="2913"/>
            <w:tcBorders>
              <w:left w:val="nil"/>
              <w:right w:val="nil"/>
              <w:top w:val="nil"/>
              <w:bottom w:val="nil"/>
            </w:tcBorders>
          </w:tcPr>
          <w:p>
            <w:pPr>
              <w:spacing w:before="40" w:after="40" w:line="240" w:lineRule="auto"/>
            </w:pPr>
            <w:r>
              <w:rPr>
                <w:sz w:val="18"/>
              </w:rPr>
              <w:t>Encouraged; evidence of buyer absorptive capacity</w:t>
            </w:r>
          </w:p>
        </w:tc>
      </w:tr>
      <w:tr>
        <w:tc>
          <w:tcPr>
            <w:tcW w:type="dxa" w:w="2880"/>
            <w:tcW w:type="dxa" w:w="2469"/>
            <w:tcBorders>
              <w:left w:val="nil"/>
              <w:right w:val="nil"/>
              <w:top w:val="nil"/>
              <w:bottom w:val="single" w:sz="8" w:space="0" w:color="000000"/>
            </w:tcBorders>
          </w:tcPr>
          <w:p>
            <w:pPr>
              <w:spacing w:before="40" w:after="40" w:line="240" w:lineRule="auto"/>
            </w:pPr>
            <w:r>
              <w:rPr>
                <w:sz w:val="18"/>
              </w:rPr>
              <w:t>Highest-leverage instrument</w:t>
            </w:r>
          </w:p>
        </w:tc>
        <w:tc>
          <w:tcPr>
            <w:tcW w:type="dxa" w:w="2880"/>
            <w:tcW w:type="dxa" w:w="3258"/>
            <w:tcBorders>
              <w:left w:val="nil"/>
              <w:right w:val="nil"/>
              <w:top w:val="nil"/>
              <w:bottom w:val="single" w:sz="8" w:space="0" w:color="000000"/>
            </w:tcBorders>
          </w:tcPr>
          <w:p>
            <w:pPr>
              <w:spacing w:before="40" w:after="40" w:line="240" w:lineRule="auto"/>
            </w:pPr>
            <w:r>
              <w:rPr>
                <w:sz w:val="18"/>
              </w:rPr>
              <w:t>The assignment and transfer agreement (contractual characteristics map to six coded RBPS elements across three pillars)</w:t>
            </w:r>
          </w:p>
        </w:tc>
        <w:tc>
          <w:tcPr>
            <w:tcW w:type="dxa" w:w="2880"/>
            <w:tcW w:type="dxa" w:w="2913"/>
            <w:tcBorders>
              <w:left w:val="nil"/>
              <w:right w:val="nil"/>
              <w:top w:val="nil"/>
              <w:bottom w:val="single" w:sz="8" w:space="0" w:color="000000"/>
            </w:tcBorders>
          </w:tcPr>
          <w:p>
            <w:pPr>
              <w:spacing w:before="40" w:after="40" w:line="240" w:lineRule="auto"/>
            </w:pPr>
            <w:r>
              <w:rPr>
                <w:sz w:val="18"/>
              </w:rPr>
              <w:t>Section 5.4 specifies the agreement’s required content</w:t>
            </w:r>
          </w:p>
        </w:tc>
      </w:tr>
    </w:tbl>
    <w:p>
      <w:pPr>
        <w:pStyle w:val="BodyText"/>
      </w:pPr>
      <w:r>
        <w:t xml:space="preserve">Two takeaways from the criticality tiers carry into the design.</w:t>
      </w:r>
      <w:r>
        <w:t xml:space="preserve"> </w:t>
      </w:r>
      <w:r>
        <w:rPr>
          <w:bCs/>
          <w:b/>
        </w:rPr>
        <w:t xml:space="preserve">Process Knowledge Management</w:t>
      </w:r>
      <w:r>
        <w:t xml:space="preserve"> </w:t>
      </w:r>
      <w:r>
        <w:t xml:space="preserve">is the hub: seven IKT elements feed it, so most transfer-process failures converge there.</w:t>
      </w:r>
      <w:r>
        <w:t xml:space="preserve"> </w:t>
      </w:r>
      <w:r>
        <w:rPr>
          <w:bCs/>
          <w:b/>
        </w:rPr>
        <w:t xml:space="preserve">Contractual characteristics</w:t>
      </w:r>
      <w:r>
        <w:t xml:space="preserve"> </w:t>
      </w:r>
      <w:r>
        <w:t xml:space="preserve">is the broadest lever: it touches six coded RBPS elements across three pillars. Section 5.4 develops both.</w:t>
      </w:r>
    </w:p>
    <w:bookmarkEnd w:id="22"/>
    <w:bookmarkStart w:id="23" w:name="pillar-1-commit-to-process-safety"/>
    <w:p>
      <w:pPr>
        <w:pStyle w:val="Heading2"/>
        <w:sectPr>
          <w:pgSz w:w="12240" w:h="15840"/>
          <w:pgMar w:top="1440" w:bottom="1440" w:left="1800" w:right="1800" w:header="720" w:footer="720" w:gutter="0"/>
        </w:sectPr>
      </w:pPr>
      <w:r>
        <w:t xml:space="preserve">Pillar 1: Commit to Process Safety</w:t>
      </w:r>
    </w:p>
    <w:p>
      <w:pPr>
        <w:pStyle w:val="FirstParagraph"/>
      </w:pPr>
      <w:r>
        <w:rPr>
          <w:bCs/>
          <w:b/>
        </w:rPr>
        <w:t xml:space="preserve">Table G.2. RBPS Pillar 1 (Commit to Process Safety): each element and the transfer factor that governs whether it survives a handover.</w:t>
      </w:r>
    </w:p>
    <w:tbl>
      <w:tblPr>
        <w:tblW w:type="auto" w:w="0"/>
        <w:tblLook w:firstColumn="1" w:firstRow="1" w:lastColumn="0" w:lastRow="0" w:noHBand="0" w:noVBand="1" w:val="04A0"/>
        <w:tblLayout w:type="fixed"/>
        <w:tblW w:type="dxa" w:w="12240"/>
      </w:tblPr>
      <w:tblGrid>
        <w:gridCol w:w="1458"/>
        <w:gridCol w:w="1795"/>
        <w:gridCol w:w="2691"/>
        <w:gridCol w:w="2611"/>
        <w:gridCol w:w="2931"/>
        <w:gridCol w:w="754"/>
      </w:tblGrid>
      <w:tr>
        <w:tc>
          <w:tcPr>
            <w:tcW w:type="dxa" w:w="1440"/>
            <w:tcW w:type="dxa" w:w="1458"/>
            <w:tcBorders>
              <w:left w:val="nil"/>
              <w:right w:val="nil"/>
              <w:top w:val="single" w:sz="8" w:space="0" w:color="000000"/>
              <w:bottom w:val="single" w:sz="4" w:space="0" w:color="000000"/>
            </w:tcBorders>
          </w:tcPr>
          <w:p>
            <w:pPr>
              <w:spacing w:before="40" w:after="40" w:line="240" w:lineRule="auto"/>
            </w:pPr>
            <w:r>
              <w:rPr>
                <w:b/>
                <w:sz w:val="16"/>
              </w:rPr>
              <w:t>RBPS element</w:t>
            </w:r>
          </w:p>
        </w:tc>
        <w:tc>
          <w:tcPr>
            <w:tcW w:type="dxa" w:w="1440"/>
            <w:tcW w:type="dxa" w:w="1795"/>
            <w:tcBorders>
              <w:left w:val="nil"/>
              <w:right w:val="nil"/>
              <w:top w:val="single" w:sz="8" w:space="0" w:color="000000"/>
              <w:bottom w:val="single" w:sz="4" w:space="0" w:color="000000"/>
            </w:tcBorders>
          </w:tcPr>
          <w:p>
            <w:pPr>
              <w:spacing w:before="40" w:after="40" w:line="240" w:lineRule="auto"/>
            </w:pPr>
            <w:r>
              <w:rPr>
                <w:b/>
                <w:sz w:val="16"/>
              </w:rPr>
              <w:t>What it is</w:t>
            </w:r>
          </w:p>
        </w:tc>
        <w:tc>
          <w:tcPr>
            <w:tcW w:type="dxa" w:w="1440"/>
            <w:tcW w:type="dxa" w:w="2691"/>
            <w:tcBorders>
              <w:left w:val="nil"/>
              <w:right w:val="nil"/>
              <w:top w:val="single" w:sz="8" w:space="0" w:color="000000"/>
              <w:bottom w:val="single" w:sz="4" w:space="0" w:color="000000"/>
            </w:tcBorders>
          </w:tcPr>
          <w:p>
            <w:pPr>
              <w:spacing w:before="40" w:after="40" w:line="240" w:lineRule="auto"/>
            </w:pPr>
            <w:r>
              <w:rPr>
                <w:b/>
                <w:sz w:val="16"/>
              </w:rPr>
              <w:t>Governing IKT element(s)</w:t>
            </w:r>
          </w:p>
        </w:tc>
        <w:tc>
          <w:tcPr>
            <w:tcW w:type="dxa" w:w="1440"/>
            <w:tcW w:type="dxa" w:w="2611"/>
            <w:tcBorders>
              <w:left w:val="nil"/>
              <w:right w:val="nil"/>
              <w:top w:val="single" w:sz="8" w:space="0" w:color="000000"/>
              <w:bottom w:val="single" w:sz="4" w:space="0" w:color="000000"/>
            </w:tcBorders>
          </w:tcPr>
          <w:p>
            <w:pPr>
              <w:spacing w:before="40" w:after="40" w:line="240" w:lineRule="auto"/>
            </w:pPr>
            <w:r>
              <w:rPr>
                <w:b/>
                <w:sz w:val="16"/>
              </w:rPr>
              <w:t>Chapter 4 finding</w:t>
            </w:r>
          </w:p>
        </w:tc>
        <w:tc>
          <w:tcPr>
            <w:tcW w:type="dxa" w:w="1440"/>
            <w:tcW w:type="dxa" w:w="2931"/>
            <w:tcBorders>
              <w:left w:val="nil"/>
              <w:right w:val="nil"/>
              <w:top w:val="single" w:sz="8" w:space="0" w:color="000000"/>
              <w:bottom w:val="single" w:sz="4" w:space="0" w:color="000000"/>
            </w:tcBorders>
          </w:tcPr>
          <w:p>
            <w:pPr>
              <w:spacing w:before="40" w:after="40" w:line="240" w:lineRule="auto"/>
            </w:pPr>
            <w:r>
              <w:rPr>
                <w:b/>
                <w:sz w:val="16"/>
              </w:rPr>
              <w:t>Legal hook</w:t>
            </w:r>
          </w:p>
        </w:tc>
        <w:tc>
          <w:tcPr>
            <w:tcW w:type="dxa" w:w="1440"/>
            <w:tcW w:type="dxa" w:w="754"/>
            <w:tcBorders>
              <w:left w:val="nil"/>
              <w:right w:val="nil"/>
              <w:top w:val="single" w:sz="8" w:space="0" w:color="000000"/>
              <w:bottom w:val="single" w:sz="4" w:space="0" w:color="000000"/>
            </w:tcBorders>
          </w:tcPr>
          <w:p>
            <w:pPr>
              <w:spacing w:before="40" w:after="40" w:line="240" w:lineRule="auto"/>
            </w:pPr>
            <w:r>
              <w:rPr>
                <w:b/>
                <w:sz w:val="16"/>
              </w:rPr>
              <w:t>Value</w:t>
            </w:r>
          </w:p>
        </w:tc>
      </w:tr>
      <w:tr>
        <w:tc>
          <w:tcPr>
            <w:tcW w:type="dxa" w:w="1440"/>
            <w:tcW w:type="dxa" w:w="1458"/>
            <w:tcBorders>
              <w:left w:val="nil"/>
              <w:right w:val="nil"/>
              <w:top w:val="nil"/>
              <w:bottom w:val="nil"/>
            </w:tcBorders>
          </w:tcPr>
          <w:p>
            <w:pPr>
              <w:spacing w:before="40" w:after="40" w:line="240" w:lineRule="auto"/>
            </w:pPr>
            <w:r>
              <w:rPr>
                <w:sz w:val="16"/>
              </w:rPr>
              <w:t>Process Safety Culture</w:t>
            </w:r>
          </w:p>
        </w:tc>
        <w:tc>
          <w:tcPr>
            <w:tcW w:type="dxa" w:w="1440"/>
            <w:tcW w:type="dxa" w:w="1795"/>
            <w:tcBorders>
              <w:left w:val="nil"/>
              <w:right w:val="nil"/>
              <w:top w:val="nil"/>
              <w:bottom w:val="nil"/>
            </w:tcBorders>
          </w:tcPr>
          <w:p>
            <w:pPr>
              <w:spacing w:before="40" w:after="40" w:line="240" w:lineRule="auto"/>
            </w:pPr>
            <w:r>
              <w:rPr>
                <w:sz w:val="16"/>
              </w:rPr>
              <w:t>Shared commitment to safety as a priority</w:t>
            </w:r>
          </w:p>
        </w:tc>
        <w:tc>
          <w:tcPr>
            <w:tcW w:type="dxa" w:w="1440"/>
            <w:tcW w:type="dxa" w:w="2691"/>
            <w:tcBorders>
              <w:left w:val="nil"/>
              <w:right w:val="nil"/>
              <w:top w:val="nil"/>
              <w:bottom w:val="nil"/>
            </w:tcBorders>
          </w:tcPr>
          <w:p>
            <w:pPr>
              <w:spacing w:before="40" w:after="40" w:line="240" w:lineRule="auto"/>
            </w:pPr>
            <w:r>
              <w:rPr>
                <w:sz w:val="16"/>
              </w:rPr>
              <w:t>Contractual characteristics; Decision-making characteristics [extended]</w:t>
            </w:r>
          </w:p>
        </w:tc>
        <w:tc>
          <w:tcPr>
            <w:tcW w:type="dxa" w:w="1440"/>
            <w:tcW w:type="dxa" w:w="2611"/>
            <w:tcBorders>
              <w:left w:val="nil"/>
              <w:right w:val="nil"/>
              <w:top w:val="nil"/>
              <w:bottom w:val="nil"/>
            </w:tcBorders>
          </w:tcPr>
          <w:p>
            <w:pPr>
              <w:spacing w:before="40" w:after="40" w:line="240" w:lineRule="auto"/>
            </w:pPr>
            <w:r>
              <w:rPr>
                <w:sz w:val="16"/>
              </w:rPr>
              <w:t>Differentiated safety outcomes across acquirers under one regulatory regime are consistent with culture differences carried (or not) by retained teams</w:t>
            </w:r>
          </w:p>
        </w:tc>
        <w:tc>
          <w:tcPr>
            <w:tcW w:type="dxa" w:w="1440"/>
            <w:tcW w:type="dxa" w:w="2931"/>
            <w:tcBorders>
              <w:left w:val="nil"/>
              <w:right w:val="nil"/>
              <w:top w:val="nil"/>
              <w:bottom w:val="nil"/>
            </w:tcBorders>
          </w:tcPr>
          <w:p>
            <w:pPr>
              <w:spacing w:before="40" w:after="40" w:line="240" w:lineRule="auto"/>
            </w:pPr>
            <w:r>
              <w:rPr>
                <w:sz w:val="16"/>
              </w:rPr>
              <w:t>NUPRC Reg. 7(5) corporate competency and good standing</w:t>
            </w:r>
          </w:p>
        </w:tc>
        <w:tc>
          <w:tcPr>
            <w:tcW w:type="dxa" w:w="1440"/>
            <w:tcW w:type="dxa" w:w="754"/>
            <w:tcBorders>
              <w:left w:val="nil"/>
              <w:right w:val="nil"/>
              <w:top w:val="nil"/>
              <w:bottom w:val="nil"/>
            </w:tcBorders>
          </w:tcPr>
          <w:p>
            <w:pPr>
              <w:spacing w:before="40" w:after="40" w:line="240" w:lineRule="auto"/>
            </w:pPr>
            <w:r>
              <w:rPr>
                <w:sz w:val="16"/>
              </w:rPr>
              <w:t>V2, V3</w:t>
            </w:r>
          </w:p>
        </w:tc>
      </w:tr>
      <w:tr>
        <w:tc>
          <w:tcPr>
            <w:tcW w:type="dxa" w:w="1440"/>
            <w:tcW w:type="dxa" w:w="1458"/>
            <w:tcBorders>
              <w:left w:val="nil"/>
              <w:right w:val="nil"/>
              <w:top w:val="nil"/>
              <w:bottom w:val="nil"/>
            </w:tcBorders>
          </w:tcPr>
          <w:p>
            <w:pPr>
              <w:spacing w:before="40" w:after="40" w:line="240" w:lineRule="auto"/>
            </w:pPr>
            <w:r>
              <w:rPr>
                <w:sz w:val="16"/>
              </w:rPr>
              <w:t>Compliance with Standards</w:t>
            </w:r>
          </w:p>
        </w:tc>
        <w:tc>
          <w:tcPr>
            <w:tcW w:type="dxa" w:w="1440"/>
            <w:tcW w:type="dxa" w:w="1795"/>
            <w:tcBorders>
              <w:left w:val="nil"/>
              <w:right w:val="nil"/>
              <w:top w:val="nil"/>
              <w:bottom w:val="nil"/>
            </w:tcBorders>
          </w:tcPr>
          <w:p>
            <w:pPr>
              <w:spacing w:before="40" w:after="40" w:line="240" w:lineRule="auto"/>
            </w:pPr>
            <w:r>
              <w:rPr>
                <w:sz w:val="16"/>
              </w:rPr>
              <w:t>Meeting internal and external requirements</w:t>
            </w:r>
          </w:p>
        </w:tc>
        <w:tc>
          <w:tcPr>
            <w:tcW w:type="dxa" w:w="1440"/>
            <w:tcW w:type="dxa" w:w="2691"/>
            <w:tcBorders>
              <w:left w:val="nil"/>
              <w:right w:val="nil"/>
              <w:top w:val="nil"/>
              <w:bottom w:val="nil"/>
            </w:tcBorders>
          </w:tcPr>
          <w:p>
            <w:pPr>
              <w:spacing w:before="40" w:after="40" w:line="240" w:lineRule="auto"/>
            </w:pPr>
            <w:r>
              <w:rPr>
                <w:sz w:val="16"/>
              </w:rPr>
              <w:t>Contractual characteristics (coded)</w:t>
            </w:r>
          </w:p>
        </w:tc>
        <w:tc>
          <w:tcPr>
            <w:tcW w:type="dxa" w:w="1440"/>
            <w:tcW w:type="dxa" w:w="2611"/>
            <w:tcBorders>
              <w:left w:val="nil"/>
              <w:right w:val="nil"/>
              <w:top w:val="nil"/>
              <w:bottom w:val="nil"/>
            </w:tcBorders>
          </w:tcPr>
          <w:p>
            <w:pPr>
              <w:spacing w:before="40" w:after="40" w:line="240" w:lineRule="auto"/>
            </w:pPr>
            <w:r>
              <w:rPr>
                <w:sz w:val="16"/>
              </w:rPr>
              <w:t>Differentiated regulatory and integrity performance, Seplat sustaining versus Aiteo’s post-close incident record</w:t>
            </w:r>
          </w:p>
        </w:tc>
        <w:tc>
          <w:tcPr>
            <w:tcW w:type="dxa" w:w="1440"/>
            <w:tcW w:type="dxa" w:w="2931"/>
            <w:tcBorders>
              <w:left w:val="nil"/>
              <w:right w:val="nil"/>
              <w:top w:val="nil"/>
              <w:bottom w:val="nil"/>
            </w:tcBorders>
          </w:tcPr>
          <w:p>
            <w:pPr>
              <w:spacing w:before="40" w:after="40" w:line="240" w:lineRule="auto"/>
            </w:pPr>
            <w:r>
              <w:rPr>
                <w:sz w:val="16"/>
              </w:rPr>
              <w:t>PIA fit-and-proper; NUPRC Reg. 7(c) legal requirements; pillar 3</w:t>
            </w:r>
          </w:p>
        </w:tc>
        <w:tc>
          <w:tcPr>
            <w:tcW w:type="dxa" w:w="1440"/>
            <w:tcW w:type="dxa" w:w="754"/>
            <w:tcBorders>
              <w:left w:val="nil"/>
              <w:right w:val="nil"/>
              <w:top w:val="nil"/>
              <w:bottom w:val="nil"/>
            </w:tcBorders>
          </w:tcPr>
          <w:p>
            <w:pPr>
              <w:spacing w:before="40" w:after="40" w:line="240" w:lineRule="auto"/>
            </w:pPr>
            <w:r>
              <w:rPr>
                <w:sz w:val="16"/>
              </w:rPr>
              <w:t>V2, V3</w:t>
            </w:r>
          </w:p>
        </w:tc>
      </w:tr>
      <w:tr>
        <w:tc>
          <w:tcPr>
            <w:tcW w:type="dxa" w:w="1440"/>
            <w:tcW w:type="dxa" w:w="1458"/>
            <w:tcBorders>
              <w:left w:val="nil"/>
              <w:right w:val="nil"/>
              <w:top w:val="nil"/>
              <w:bottom w:val="nil"/>
            </w:tcBorders>
          </w:tcPr>
          <w:p>
            <w:pPr>
              <w:spacing w:before="40" w:after="40" w:line="240" w:lineRule="auto"/>
            </w:pPr>
            <w:r>
              <w:rPr>
                <w:sz w:val="16"/>
              </w:rPr>
              <w:t>Process Safety Competency</w:t>
            </w:r>
          </w:p>
        </w:tc>
        <w:tc>
          <w:tcPr>
            <w:tcW w:type="dxa" w:w="1440"/>
            <w:tcW w:type="dxa" w:w="1795"/>
            <w:tcBorders>
              <w:left w:val="nil"/>
              <w:right w:val="nil"/>
              <w:top w:val="nil"/>
              <w:bottom w:val="nil"/>
            </w:tcBorders>
          </w:tcPr>
          <w:p>
            <w:pPr>
              <w:spacing w:before="40" w:after="40" w:line="240" w:lineRule="auto"/>
            </w:pPr>
            <w:r>
              <w:rPr>
                <w:sz w:val="16"/>
              </w:rPr>
              <w:t>Expertise to manage process hazards</w:t>
            </w:r>
          </w:p>
        </w:tc>
        <w:tc>
          <w:tcPr>
            <w:tcW w:type="dxa" w:w="1440"/>
            <w:tcW w:type="dxa" w:w="2691"/>
            <w:tcBorders>
              <w:left w:val="nil"/>
              <w:right w:val="nil"/>
              <w:top w:val="nil"/>
              <w:bottom w:val="nil"/>
            </w:tcBorders>
          </w:tcPr>
          <w:p>
            <w:pPr>
              <w:spacing w:before="40" w:after="40" w:line="240" w:lineRule="auto"/>
            </w:pPr>
            <w:r>
              <w:rPr>
                <w:sz w:val="16"/>
              </w:rPr>
              <w:t>Identification of training needs; Responsibility for the transfer [extended]</w:t>
            </w:r>
          </w:p>
        </w:tc>
        <w:tc>
          <w:tcPr>
            <w:tcW w:type="dxa" w:w="1440"/>
            <w:tcW w:type="dxa" w:w="2611"/>
            <w:tcBorders>
              <w:left w:val="nil"/>
              <w:right w:val="nil"/>
              <w:top w:val="nil"/>
              <w:bottom w:val="nil"/>
            </w:tcBorders>
          </w:tcPr>
          <w:p>
            <w:pPr>
              <w:spacing w:before="40" w:after="40" w:line="240" w:lineRule="auto"/>
            </w:pPr>
            <w:r>
              <w:rPr>
                <w:sz w:val="16"/>
              </w:rPr>
              <w:t>Aiteo’s founder and CEO carried downstream-only experience; Seplat’s leadership (Avuru) and HEOSL’s technical operator (Salvic) carried upstream operating pedigree</w:t>
            </w:r>
          </w:p>
        </w:tc>
        <w:tc>
          <w:tcPr>
            <w:tcW w:type="dxa" w:w="1440"/>
            <w:tcW w:type="dxa" w:w="2931"/>
            <w:tcBorders>
              <w:left w:val="nil"/>
              <w:right w:val="nil"/>
              <w:top w:val="nil"/>
              <w:bottom w:val="nil"/>
            </w:tcBorders>
          </w:tcPr>
          <w:p>
            <w:pPr>
              <w:spacing w:before="40" w:after="40" w:line="240" w:lineRule="auto"/>
            </w:pPr>
            <w:r>
              <w:rPr>
                <w:sz w:val="16"/>
              </w:rPr>
              <w:t>NUPRC Reg. 7(5) technical knowledge and experience, and the director-conviction screen; NSTA director and controller fitness as the comparative analogue</w:t>
            </w:r>
          </w:p>
        </w:tc>
        <w:tc>
          <w:tcPr>
            <w:tcW w:type="dxa" w:w="1440"/>
            <w:tcW w:type="dxa" w:w="754"/>
            <w:tcBorders>
              <w:left w:val="nil"/>
              <w:right w:val="nil"/>
              <w:top w:val="nil"/>
              <w:bottom w:val="nil"/>
            </w:tcBorders>
          </w:tcPr>
          <w:p>
            <w:pPr>
              <w:spacing w:before="40" w:after="40" w:line="240" w:lineRule="auto"/>
            </w:pPr>
            <w:r>
              <w:rPr>
                <w:sz w:val="16"/>
              </w:rPr>
              <w:t>V2, V3, V5</w:t>
            </w:r>
          </w:p>
        </w:tc>
      </w:tr>
      <w:tr>
        <w:tc>
          <w:tcPr>
            <w:tcW w:type="dxa" w:w="1440"/>
            <w:tcW w:type="dxa" w:w="1458"/>
            <w:tcBorders>
              <w:left w:val="nil"/>
              <w:right w:val="nil"/>
              <w:top w:val="nil"/>
              <w:bottom w:val="nil"/>
            </w:tcBorders>
          </w:tcPr>
          <w:p>
            <w:pPr>
              <w:spacing w:before="40" w:after="40" w:line="240" w:lineRule="auto"/>
            </w:pPr>
            <w:r>
              <w:rPr>
                <w:sz w:val="16"/>
              </w:rPr>
              <w:t>Workforce Involvement</w:t>
            </w:r>
          </w:p>
        </w:tc>
        <w:tc>
          <w:tcPr>
            <w:tcW w:type="dxa" w:w="1440"/>
            <w:tcW w:type="dxa" w:w="1795"/>
            <w:tcBorders>
              <w:left w:val="nil"/>
              <w:right w:val="nil"/>
              <w:top w:val="nil"/>
              <w:bottom w:val="nil"/>
            </w:tcBorders>
          </w:tcPr>
          <w:p>
            <w:pPr>
              <w:spacing w:before="40" w:after="40" w:line="240" w:lineRule="auto"/>
            </w:pPr>
            <w:r>
              <w:rPr>
                <w:sz w:val="16"/>
              </w:rPr>
              <w:t>Engaging the operating workforce in safety</w:t>
            </w:r>
          </w:p>
        </w:tc>
        <w:tc>
          <w:tcPr>
            <w:tcW w:type="dxa" w:w="1440"/>
            <w:tcW w:type="dxa" w:w="2691"/>
            <w:tcBorders>
              <w:left w:val="nil"/>
              <w:right w:val="nil"/>
              <w:top w:val="nil"/>
              <w:bottom w:val="nil"/>
            </w:tcBorders>
          </w:tcPr>
          <w:p>
            <w:pPr>
              <w:spacing w:before="40" w:after="40" w:line="240" w:lineRule="auto"/>
            </w:pPr>
            <w:r>
              <w:rPr>
                <w:sz w:val="16"/>
              </w:rPr>
              <w:t>Contractual characteristics; Availability; Proactivity; Transfer objectives; Transfer scope (coded)</w:t>
            </w:r>
          </w:p>
        </w:tc>
        <w:tc>
          <w:tcPr>
            <w:tcW w:type="dxa" w:w="1440"/>
            <w:tcW w:type="dxa" w:w="2611"/>
            <w:tcBorders>
              <w:left w:val="nil"/>
              <w:right w:val="nil"/>
              <w:top w:val="nil"/>
              <w:bottom w:val="nil"/>
            </w:tcBorders>
          </w:tcPr>
          <w:p>
            <w:pPr>
              <w:spacing w:before="40" w:after="40" w:line="240" w:lineRule="auto"/>
            </w:pPr>
            <w:r>
              <w:rPr>
                <w:sz w:val="16"/>
              </w:rPr>
              <w:t>Seplat (Avuru with Maurel et Prom) and HEOSL with Salvic retained or brought equivalent people; Aiteo did not; the process-safety study found incidents rise when the operating team is not retained</w:t>
            </w:r>
          </w:p>
        </w:tc>
        <w:tc>
          <w:tcPr>
            <w:tcW w:type="dxa" w:w="1440"/>
            <w:tcW w:type="dxa" w:w="2931"/>
            <w:tcBorders>
              <w:left w:val="nil"/>
              <w:right w:val="nil"/>
              <w:top w:val="nil"/>
              <w:bottom w:val="nil"/>
            </w:tcBorders>
          </w:tcPr>
          <w:p>
            <w:pPr>
              <w:spacing w:before="40" w:after="40" w:line="240" w:lineRule="auto"/>
            </w:pPr>
            <w:r>
              <w:rPr>
                <w:sz w:val="16"/>
              </w:rPr>
              <w:t>NOGICD Sections 29-31 employment, training, and understudy succession; NUPRC Reg. 7(f) industrial relations and labour</w:t>
            </w:r>
          </w:p>
        </w:tc>
        <w:tc>
          <w:tcPr>
            <w:tcW w:type="dxa" w:w="1440"/>
            <w:tcW w:type="dxa" w:w="754"/>
            <w:tcBorders>
              <w:left w:val="nil"/>
              <w:right w:val="nil"/>
              <w:top w:val="nil"/>
              <w:bottom w:val="nil"/>
            </w:tcBorders>
          </w:tcPr>
          <w:p>
            <w:pPr>
              <w:spacing w:before="40" w:after="40" w:line="240" w:lineRule="auto"/>
            </w:pPr>
            <w:r>
              <w:rPr>
                <w:sz w:val="16"/>
              </w:rPr>
              <w:t>V2, V3, V5</w:t>
            </w:r>
          </w:p>
        </w:tc>
      </w:tr>
      <w:tr>
        <w:tc>
          <w:tcPr>
            <w:tcW w:type="dxa" w:w="1440"/>
            <w:tcW w:type="dxa" w:w="1458"/>
            <w:tcBorders>
              <w:left w:val="nil"/>
              <w:right w:val="nil"/>
              <w:top w:val="nil"/>
              <w:bottom w:val="single" w:sz="8" w:space="0" w:color="000000"/>
            </w:tcBorders>
          </w:tcPr>
          <w:p>
            <w:pPr>
              <w:spacing w:before="40" w:after="40" w:line="240" w:lineRule="auto"/>
            </w:pPr>
            <w:r>
              <w:rPr>
                <w:sz w:val="16"/>
              </w:rPr>
              <w:t>Stakeholder Outreach</w:t>
            </w:r>
          </w:p>
        </w:tc>
        <w:tc>
          <w:tcPr>
            <w:tcW w:type="dxa" w:w="1440"/>
            <w:tcW w:type="dxa" w:w="1795"/>
            <w:tcBorders>
              <w:left w:val="nil"/>
              <w:right w:val="nil"/>
              <w:top w:val="nil"/>
              <w:bottom w:val="single" w:sz="8" w:space="0" w:color="000000"/>
            </w:tcBorders>
          </w:tcPr>
          <w:p>
            <w:pPr>
              <w:spacing w:before="40" w:after="40" w:line="240" w:lineRule="auto"/>
            </w:pPr>
            <w:r>
              <w:rPr>
                <w:sz w:val="16"/>
              </w:rPr>
              <w:t>Engaging external communities and parties</w:t>
            </w:r>
          </w:p>
        </w:tc>
        <w:tc>
          <w:tcPr>
            <w:tcW w:type="dxa" w:w="1440"/>
            <w:tcW w:type="dxa" w:w="2691"/>
            <w:tcBorders>
              <w:left w:val="nil"/>
              <w:right w:val="nil"/>
              <w:top w:val="nil"/>
              <w:bottom w:val="single" w:sz="8" w:space="0" w:color="000000"/>
            </w:tcBorders>
          </w:tcPr>
          <w:p>
            <w:pPr>
              <w:spacing w:before="40" w:after="40" w:line="240" w:lineRule="auto"/>
            </w:pPr>
            <w:r>
              <w:rPr>
                <w:sz w:val="16"/>
              </w:rPr>
              <w:t>Decision-making characteristics [extended]</w:t>
            </w:r>
          </w:p>
        </w:tc>
        <w:tc>
          <w:tcPr>
            <w:tcW w:type="dxa" w:w="1440"/>
            <w:tcW w:type="dxa" w:w="2611"/>
            <w:tcBorders>
              <w:left w:val="nil"/>
              <w:right w:val="nil"/>
              <w:top w:val="nil"/>
              <w:bottom w:val="single" w:sz="8" w:space="0" w:color="000000"/>
            </w:tcBorders>
          </w:tcPr>
          <w:p>
            <w:pPr>
              <w:spacing w:before="40" w:after="40" w:line="240" w:lineRule="auto"/>
            </w:pPr>
            <w:r>
              <w:rPr>
                <w:sz w:val="16"/>
              </w:rPr>
              <w:t>The externality lands on communities: forty-one communities affected by the Santa Barbara blowout; seven deaths in the Benin River explosion</w:t>
            </w:r>
          </w:p>
        </w:tc>
        <w:tc>
          <w:tcPr>
            <w:tcW w:type="dxa" w:w="1440"/>
            <w:tcW w:type="dxa" w:w="2931"/>
            <w:tcBorders>
              <w:left w:val="nil"/>
              <w:right w:val="nil"/>
              <w:top w:val="nil"/>
              <w:bottom w:val="single" w:sz="8" w:space="0" w:color="000000"/>
            </w:tcBorders>
          </w:tcPr>
          <w:p>
            <w:pPr>
              <w:spacing w:before="40" w:after="40" w:line="240" w:lineRule="auto"/>
            </w:pPr>
            <w:r>
              <w:rPr>
                <w:sz w:val="16"/>
              </w:rPr>
              <w:t>PIA Chapter 3 Host Community Development Trusts; pillar 5</w:t>
            </w:r>
          </w:p>
        </w:tc>
        <w:tc>
          <w:tcPr>
            <w:tcW w:type="dxa" w:w="1440"/>
            <w:tcW w:type="dxa" w:w="754"/>
            <w:tcBorders>
              <w:left w:val="nil"/>
              <w:right w:val="nil"/>
              <w:top w:val="nil"/>
              <w:bottom w:val="single" w:sz="8" w:space="0" w:color="000000"/>
            </w:tcBorders>
          </w:tcPr>
          <w:p>
            <w:pPr>
              <w:spacing w:before="40" w:after="40" w:line="240" w:lineRule="auto"/>
            </w:pPr>
            <w:r>
              <w:rPr>
                <w:sz w:val="16"/>
              </w:rPr>
              <w:t>V4</w:t>
            </w:r>
          </w:p>
        </w:tc>
      </w:tr>
    </w:tbl>
    <w:p>
      <w:pPr>
        <w:sectPr>
          <w:pgSz w:w="15840" w:h="12240" w:orient="landscape"/>
          <w:pgMar w:top="1440" w:bottom="1440" w:left="1800" w:right="1800" w:header="720" w:footer="720" w:gutter="0"/>
        </w:sectPr>
      </w:pPr>
    </w:p>
    <w:bookmarkEnd w:id="23"/>
    <w:bookmarkStart w:id="24" w:name="pillar-2-understand-hazards-and-risks"/>
    <w:p>
      <w:pPr>
        <w:pStyle w:val="Heading2"/>
        <w:sectPr>
          <w:pgSz w:w="12240" w:h="15840"/>
          <w:pgMar w:top="1440" w:bottom="1440" w:left="1800" w:right="1800" w:header="720" w:footer="720" w:gutter="0"/>
        </w:sectPr>
      </w:pPr>
      <w:r>
        <w:t xml:space="preserve">Pillar 2: Understand Hazards and Risks</w:t>
      </w:r>
    </w:p>
    <w:p>
      <w:pPr>
        <w:pStyle w:val="FirstParagraph"/>
      </w:pPr>
      <w:r>
        <w:rPr>
          <w:bCs/>
          <w:b/>
        </w:rPr>
        <w:t xml:space="preserve">Table G.3. RBPS Pillar 2 (Understand Hazards and Risks): each element and the transfer factor that governs whether it survives a handover.</w:t>
      </w:r>
    </w:p>
    <w:tbl>
      <w:tblPr>
        <w:tblW w:type="auto" w:w="0"/>
        <w:tblLook w:firstColumn="1" w:firstRow="1" w:lastColumn="0" w:lastRow="0" w:noHBand="0" w:noVBand="1" w:val="04A0"/>
        <w:tblLayout w:type="fixed"/>
        <w:tblW w:type="dxa" w:w="12240"/>
      </w:tblPr>
      <w:tblGrid>
        <w:gridCol w:w="1893"/>
        <w:gridCol w:w="2188"/>
        <w:gridCol w:w="2657"/>
        <w:gridCol w:w="2337"/>
        <w:gridCol w:w="2417"/>
        <w:gridCol w:w="748"/>
      </w:tblGrid>
      <w:tr>
        <w:tc>
          <w:tcPr>
            <w:tcW w:type="dxa" w:w="1440"/>
            <w:tcW w:type="dxa" w:w="1893"/>
            <w:tcBorders>
              <w:left w:val="nil"/>
              <w:right w:val="nil"/>
              <w:top w:val="single" w:sz="8" w:space="0" w:color="000000"/>
              <w:bottom w:val="single" w:sz="4" w:space="0" w:color="000000"/>
            </w:tcBorders>
          </w:tcPr>
          <w:p>
            <w:pPr>
              <w:spacing w:before="40" w:after="40" w:line="240" w:lineRule="auto"/>
            </w:pPr>
            <w:r>
              <w:rPr>
                <w:b/>
                <w:sz w:val="16"/>
              </w:rPr>
              <w:t>RBPS element</w:t>
            </w:r>
          </w:p>
        </w:tc>
        <w:tc>
          <w:tcPr>
            <w:tcW w:type="dxa" w:w="1440"/>
            <w:tcW w:type="dxa" w:w="2188"/>
            <w:tcBorders>
              <w:left w:val="nil"/>
              <w:right w:val="nil"/>
              <w:top w:val="single" w:sz="8" w:space="0" w:color="000000"/>
              <w:bottom w:val="single" w:sz="4" w:space="0" w:color="000000"/>
            </w:tcBorders>
          </w:tcPr>
          <w:p>
            <w:pPr>
              <w:spacing w:before="40" w:after="40" w:line="240" w:lineRule="auto"/>
            </w:pPr>
            <w:r>
              <w:rPr>
                <w:b/>
                <w:sz w:val="16"/>
              </w:rPr>
              <w:t>What it is</w:t>
            </w:r>
          </w:p>
        </w:tc>
        <w:tc>
          <w:tcPr>
            <w:tcW w:type="dxa" w:w="1440"/>
            <w:tcW w:type="dxa" w:w="2657"/>
            <w:tcBorders>
              <w:left w:val="nil"/>
              <w:right w:val="nil"/>
              <w:top w:val="single" w:sz="8" w:space="0" w:color="000000"/>
              <w:bottom w:val="single" w:sz="4" w:space="0" w:color="000000"/>
            </w:tcBorders>
          </w:tcPr>
          <w:p>
            <w:pPr>
              <w:spacing w:before="40" w:after="40" w:line="240" w:lineRule="auto"/>
            </w:pPr>
            <w:r>
              <w:rPr>
                <w:b/>
                <w:sz w:val="16"/>
              </w:rPr>
              <w:t>Governing IKT element(s)</w:t>
            </w:r>
          </w:p>
        </w:tc>
        <w:tc>
          <w:tcPr>
            <w:tcW w:type="dxa" w:w="1440"/>
            <w:tcW w:type="dxa" w:w="2337"/>
            <w:tcBorders>
              <w:left w:val="nil"/>
              <w:right w:val="nil"/>
              <w:top w:val="single" w:sz="8" w:space="0" w:color="000000"/>
              <w:bottom w:val="single" w:sz="4" w:space="0" w:color="000000"/>
            </w:tcBorders>
          </w:tcPr>
          <w:p>
            <w:pPr>
              <w:spacing w:before="40" w:after="40" w:line="240" w:lineRule="auto"/>
            </w:pPr>
            <w:r>
              <w:rPr>
                <w:b/>
                <w:sz w:val="16"/>
              </w:rPr>
              <w:t>Chapter 4 finding</w:t>
            </w:r>
          </w:p>
        </w:tc>
        <w:tc>
          <w:tcPr>
            <w:tcW w:type="dxa" w:w="1440"/>
            <w:tcW w:type="dxa" w:w="2417"/>
            <w:tcBorders>
              <w:left w:val="nil"/>
              <w:right w:val="nil"/>
              <w:top w:val="single" w:sz="8" w:space="0" w:color="000000"/>
              <w:bottom w:val="single" w:sz="4" w:space="0" w:color="000000"/>
            </w:tcBorders>
          </w:tcPr>
          <w:p>
            <w:pPr>
              <w:spacing w:before="40" w:after="40" w:line="240" w:lineRule="auto"/>
            </w:pPr>
            <w:r>
              <w:rPr>
                <w:b/>
                <w:sz w:val="16"/>
              </w:rPr>
              <w:t>Legal hook</w:t>
            </w:r>
          </w:p>
        </w:tc>
        <w:tc>
          <w:tcPr>
            <w:tcW w:type="dxa" w:w="1440"/>
            <w:tcW w:type="dxa" w:w="748"/>
            <w:tcBorders>
              <w:left w:val="nil"/>
              <w:right w:val="nil"/>
              <w:top w:val="single" w:sz="8" w:space="0" w:color="000000"/>
              <w:bottom w:val="single" w:sz="4" w:space="0" w:color="000000"/>
            </w:tcBorders>
          </w:tcPr>
          <w:p>
            <w:pPr>
              <w:spacing w:before="40" w:after="40" w:line="240" w:lineRule="auto"/>
            </w:pPr>
            <w:r>
              <w:rPr>
                <w:b/>
                <w:sz w:val="16"/>
              </w:rPr>
              <w:t>Value</w:t>
            </w:r>
          </w:p>
        </w:tc>
      </w:tr>
      <w:tr>
        <w:tc>
          <w:tcPr>
            <w:tcW w:type="dxa" w:w="1440"/>
            <w:tcW w:type="dxa" w:w="1893"/>
            <w:tcBorders>
              <w:left w:val="nil"/>
              <w:right w:val="nil"/>
              <w:top w:val="nil"/>
              <w:bottom w:val="nil"/>
            </w:tcBorders>
          </w:tcPr>
          <w:p>
            <w:pPr>
              <w:spacing w:before="40" w:after="40" w:line="240" w:lineRule="auto"/>
            </w:pPr>
            <w:r>
              <w:rPr>
                <w:sz w:val="16"/>
              </w:rPr>
              <w:t>Process Knowledge Management (hub)</w:t>
            </w:r>
          </w:p>
        </w:tc>
        <w:tc>
          <w:tcPr>
            <w:tcW w:type="dxa" w:w="1440"/>
            <w:tcW w:type="dxa" w:w="2188"/>
            <w:tcBorders>
              <w:left w:val="nil"/>
              <w:right w:val="nil"/>
              <w:top w:val="nil"/>
              <w:bottom w:val="nil"/>
            </w:tcBorders>
          </w:tcPr>
          <w:p>
            <w:pPr>
              <w:spacing w:before="40" w:after="40" w:line="240" w:lineRule="auto"/>
            </w:pPr>
            <w:r>
              <w:rPr>
                <w:sz w:val="16"/>
              </w:rPr>
              <w:t>Documented process and asset knowledge, retained and usable</w:t>
            </w:r>
          </w:p>
        </w:tc>
        <w:tc>
          <w:tcPr>
            <w:tcW w:type="dxa" w:w="1440"/>
            <w:tcW w:type="dxa" w:w="2657"/>
            <w:tcBorders>
              <w:left w:val="nil"/>
              <w:right w:val="nil"/>
              <w:top w:val="nil"/>
              <w:bottom w:val="nil"/>
            </w:tcBorders>
          </w:tcPr>
          <w:p>
            <w:pPr>
              <w:spacing w:before="40" w:after="40" w:line="240" w:lineRule="auto"/>
            </w:pPr>
            <w:r>
              <w:rPr>
                <w:sz w:val="16"/>
              </w:rPr>
              <w:t>Transfer period; Availability; Proactivity; Identification of training needs; Responsibility for the transfer; Evaluation mechanism and method; Access to databases (coded; seven elements)</w:t>
            </w:r>
          </w:p>
        </w:tc>
        <w:tc>
          <w:tcPr>
            <w:tcW w:type="dxa" w:w="1440"/>
            <w:tcW w:type="dxa" w:w="2337"/>
            <w:tcBorders>
              <w:left w:val="nil"/>
              <w:right w:val="nil"/>
              <w:top w:val="nil"/>
              <w:bottom w:val="nil"/>
            </w:tcBorders>
          </w:tcPr>
          <w:p>
            <w:pPr>
              <w:spacing w:before="40" w:after="40" w:line="240" w:lineRule="auto"/>
            </w:pPr>
            <w:r>
              <w:rPr>
                <w:sz w:val="16"/>
              </w:rPr>
              <w:t>The buyer could not assess embedded operating requirements from the data room (the Section 4.3.3 information asymmetry); absorbed operators retained data and the people who held it, de novo operators did not</w:t>
            </w:r>
          </w:p>
        </w:tc>
        <w:tc>
          <w:tcPr>
            <w:tcW w:type="dxa" w:w="1440"/>
            <w:tcW w:type="dxa" w:w="2417"/>
            <w:tcBorders>
              <w:left w:val="nil"/>
              <w:right w:val="nil"/>
              <w:top w:val="nil"/>
              <w:bottom w:val="nil"/>
            </w:tcBorders>
          </w:tcPr>
          <w:p>
            <w:pPr>
              <w:spacing w:before="40" w:after="40" w:line="240" w:lineRule="auto"/>
            </w:pPr>
            <w:r>
              <w:rPr>
                <w:sz w:val="16"/>
              </w:rPr>
              <w:t>NUPRC Reg. 7(g) data repatriation; pillar 7; NOGICD Sections 43-47 technology transfer</w:t>
            </w:r>
          </w:p>
        </w:tc>
        <w:tc>
          <w:tcPr>
            <w:tcW w:type="dxa" w:w="1440"/>
            <w:tcW w:type="dxa" w:w="748"/>
            <w:tcBorders>
              <w:left w:val="nil"/>
              <w:right w:val="nil"/>
              <w:top w:val="nil"/>
              <w:bottom w:val="nil"/>
            </w:tcBorders>
          </w:tcPr>
          <w:p>
            <w:pPr>
              <w:spacing w:before="40" w:after="40" w:line="240" w:lineRule="auto"/>
            </w:pPr>
            <w:r>
              <w:rPr>
                <w:sz w:val="16"/>
              </w:rPr>
              <w:t>V1, V2, V7</w:t>
            </w:r>
          </w:p>
        </w:tc>
      </w:tr>
      <w:tr>
        <w:tc>
          <w:tcPr>
            <w:tcW w:type="dxa" w:w="1440"/>
            <w:tcW w:type="dxa" w:w="1893"/>
            <w:tcBorders>
              <w:left w:val="nil"/>
              <w:right w:val="nil"/>
              <w:top w:val="nil"/>
              <w:bottom w:val="single" w:sz="8" w:space="0" w:color="000000"/>
            </w:tcBorders>
          </w:tcPr>
          <w:p>
            <w:pPr>
              <w:spacing w:before="40" w:after="40" w:line="240" w:lineRule="auto"/>
            </w:pPr>
            <w:r>
              <w:rPr>
                <w:sz w:val="16"/>
              </w:rPr>
              <w:t>Hazard Identification and Risk Analysis</w:t>
            </w:r>
          </w:p>
        </w:tc>
        <w:tc>
          <w:tcPr>
            <w:tcW w:type="dxa" w:w="1440"/>
            <w:tcW w:type="dxa" w:w="2188"/>
            <w:tcBorders>
              <w:left w:val="nil"/>
              <w:right w:val="nil"/>
              <w:top w:val="nil"/>
              <w:bottom w:val="single" w:sz="8" w:space="0" w:color="000000"/>
            </w:tcBorders>
          </w:tcPr>
          <w:p>
            <w:pPr>
              <w:spacing w:before="40" w:after="40" w:line="240" w:lineRule="auto"/>
            </w:pPr>
            <w:r>
              <w:rPr>
                <w:sz w:val="16"/>
              </w:rPr>
              <w:t>Systematic identification and analysis of hazards</w:t>
            </w:r>
          </w:p>
        </w:tc>
        <w:tc>
          <w:tcPr>
            <w:tcW w:type="dxa" w:w="1440"/>
            <w:tcW w:type="dxa" w:w="2657"/>
            <w:tcBorders>
              <w:left w:val="nil"/>
              <w:right w:val="nil"/>
              <w:top w:val="nil"/>
              <w:bottom w:val="single" w:sz="8" w:space="0" w:color="000000"/>
            </w:tcBorders>
          </w:tcPr>
          <w:p>
            <w:pPr>
              <w:spacing w:before="40" w:after="40" w:line="240" w:lineRule="auto"/>
            </w:pPr>
            <w:r>
              <w:rPr>
                <w:sz w:val="16"/>
              </w:rPr>
              <w:t>Contractual characteristics; Decision-making characteristics; Transfer objectives; Transfer scope; Definition of routines; Mechanisms used; Access to databases (coded)</w:t>
            </w:r>
          </w:p>
        </w:tc>
        <w:tc>
          <w:tcPr>
            <w:tcW w:type="dxa" w:w="1440"/>
            <w:tcW w:type="dxa" w:w="2337"/>
            <w:tcBorders>
              <w:left w:val="nil"/>
              <w:right w:val="nil"/>
              <w:top w:val="nil"/>
              <w:bottom w:val="single" w:sz="8" w:space="0" w:color="000000"/>
            </w:tcBorders>
          </w:tcPr>
          <w:p>
            <w:pPr>
              <w:spacing w:before="40" w:after="40" w:line="240" w:lineRule="auto"/>
            </w:pPr>
            <w:r>
              <w:rPr>
                <w:sz w:val="16"/>
              </w:rPr>
              <w:t>Aiteo’s absence of a blowout contingency plan implies the well-control scenario was not carried into a live hazard analysis at handover</w:t>
            </w:r>
          </w:p>
        </w:tc>
        <w:tc>
          <w:tcPr>
            <w:tcW w:type="dxa" w:w="1440"/>
            <w:tcW w:type="dxa" w:w="2417"/>
            <w:tcBorders>
              <w:left w:val="nil"/>
              <w:right w:val="nil"/>
              <w:top w:val="nil"/>
              <w:bottom w:val="single" w:sz="8" w:space="0" w:color="000000"/>
            </w:tcBorders>
          </w:tcPr>
          <w:p>
            <w:pPr>
              <w:spacing w:before="40" w:after="40" w:line="240" w:lineRule="auto"/>
            </w:pPr>
            <w:r>
              <w:rPr>
                <w:sz w:val="16"/>
              </w:rPr>
              <w:t>NUPRC Reg. 7(a) technical capacity; pillar 1</w:t>
            </w:r>
          </w:p>
        </w:tc>
        <w:tc>
          <w:tcPr>
            <w:tcW w:type="dxa" w:w="1440"/>
            <w:tcW w:type="dxa" w:w="748"/>
            <w:tcBorders>
              <w:left w:val="nil"/>
              <w:right w:val="nil"/>
              <w:top w:val="nil"/>
              <w:bottom w:val="single" w:sz="8" w:space="0" w:color="000000"/>
            </w:tcBorders>
          </w:tcPr>
          <w:p>
            <w:pPr>
              <w:spacing w:before="40" w:after="40" w:line="240" w:lineRule="auto"/>
            </w:pPr>
            <w:r>
              <w:rPr>
                <w:sz w:val="16"/>
              </w:rPr>
              <w:t>V2, V3</w:t>
            </w:r>
          </w:p>
        </w:tc>
      </w:tr>
    </w:tbl>
    <w:p>
      <w:pPr>
        <w:sectPr>
          <w:pgSz w:w="15840" w:h="12240" w:orient="landscape"/>
          <w:pgMar w:top="1440" w:bottom="1440" w:left="1800" w:right="1800" w:header="720" w:footer="720" w:gutter="0"/>
        </w:sectPr>
      </w:pPr>
    </w:p>
    <w:bookmarkEnd w:id="24"/>
    <w:bookmarkStart w:id="25" w:name="pillar-3-manage-risk"/>
    <w:p>
      <w:pPr>
        <w:pStyle w:val="Heading2"/>
        <w:sectPr>
          <w:pgSz w:w="12240" w:h="15840"/>
          <w:pgMar w:top="1440" w:bottom="1440" w:left="1800" w:right="1800" w:header="720" w:footer="720" w:gutter="0"/>
        </w:sectPr>
      </w:pPr>
      <w:r>
        <w:t xml:space="preserve">Pillar 3: Manage Risk</w:t>
      </w:r>
    </w:p>
    <w:p>
      <w:pPr>
        <w:pStyle w:val="FirstParagraph"/>
      </w:pPr>
      <w:r>
        <w:rPr>
          <w:bCs/>
          <w:b/>
        </w:rPr>
        <w:t xml:space="preserve">Table G.4. RBPS Pillar 3 (Manage Risk): each element and the transfer factor that governs whether it survives a handover.</w:t>
      </w:r>
    </w:p>
    <w:tbl>
      <w:tblPr>
        <w:tblW w:type="auto" w:w="0"/>
        <w:tblLook w:firstColumn="1" w:firstRow="1" w:lastColumn="0" w:lastRow="0" w:noHBand="0" w:noVBand="1" w:val="04A0"/>
        <w:tblLayout w:type="fixed"/>
        <w:tblW w:type="dxa" w:w="12240"/>
      </w:tblPr>
      <w:tblGrid>
        <w:gridCol w:w="1528"/>
        <w:gridCol w:w="2005"/>
        <w:gridCol w:w="2534"/>
        <w:gridCol w:w="2934"/>
        <w:gridCol w:w="2454"/>
        <w:gridCol w:w="785"/>
      </w:tblGrid>
      <w:tr>
        <w:tc>
          <w:tcPr>
            <w:tcW w:type="dxa" w:w="1440"/>
            <w:tcW w:type="dxa" w:w="1528"/>
            <w:tcBorders>
              <w:left w:val="nil"/>
              <w:right w:val="nil"/>
              <w:top w:val="single" w:sz="8" w:space="0" w:color="000000"/>
              <w:bottom w:val="single" w:sz="4" w:space="0" w:color="000000"/>
            </w:tcBorders>
          </w:tcPr>
          <w:p>
            <w:pPr>
              <w:spacing w:before="40" w:after="40" w:line="240" w:lineRule="auto"/>
            </w:pPr>
            <w:r>
              <w:rPr>
                <w:b/>
                <w:sz w:val="16"/>
              </w:rPr>
              <w:t>RBPS element</w:t>
            </w:r>
          </w:p>
        </w:tc>
        <w:tc>
          <w:tcPr>
            <w:tcW w:type="dxa" w:w="1440"/>
            <w:tcW w:type="dxa" w:w="2005"/>
            <w:tcBorders>
              <w:left w:val="nil"/>
              <w:right w:val="nil"/>
              <w:top w:val="single" w:sz="8" w:space="0" w:color="000000"/>
              <w:bottom w:val="single" w:sz="4" w:space="0" w:color="000000"/>
            </w:tcBorders>
          </w:tcPr>
          <w:p>
            <w:pPr>
              <w:spacing w:before="40" w:after="40" w:line="240" w:lineRule="auto"/>
            </w:pPr>
            <w:r>
              <w:rPr>
                <w:b/>
                <w:sz w:val="16"/>
              </w:rPr>
              <w:t>What it is</w:t>
            </w:r>
          </w:p>
        </w:tc>
        <w:tc>
          <w:tcPr>
            <w:tcW w:type="dxa" w:w="1440"/>
            <w:tcW w:type="dxa" w:w="2534"/>
            <w:tcBorders>
              <w:left w:val="nil"/>
              <w:right w:val="nil"/>
              <w:top w:val="single" w:sz="8" w:space="0" w:color="000000"/>
              <w:bottom w:val="single" w:sz="4" w:space="0" w:color="000000"/>
            </w:tcBorders>
          </w:tcPr>
          <w:p>
            <w:pPr>
              <w:spacing w:before="40" w:after="40" w:line="240" w:lineRule="auto"/>
            </w:pPr>
            <w:r>
              <w:rPr>
                <w:b/>
                <w:sz w:val="16"/>
              </w:rPr>
              <w:t>Governing IKT element(s)</w:t>
            </w:r>
          </w:p>
        </w:tc>
        <w:tc>
          <w:tcPr>
            <w:tcW w:type="dxa" w:w="1440"/>
            <w:tcW w:type="dxa" w:w="2934"/>
            <w:tcBorders>
              <w:left w:val="nil"/>
              <w:right w:val="nil"/>
              <w:top w:val="single" w:sz="8" w:space="0" w:color="000000"/>
              <w:bottom w:val="single" w:sz="4" w:space="0" w:color="000000"/>
            </w:tcBorders>
          </w:tcPr>
          <w:p>
            <w:pPr>
              <w:spacing w:before="40" w:after="40" w:line="240" w:lineRule="auto"/>
            </w:pPr>
            <w:r>
              <w:rPr>
                <w:b/>
                <w:sz w:val="16"/>
              </w:rPr>
              <w:t>Chapter 4 finding</w:t>
            </w:r>
          </w:p>
        </w:tc>
        <w:tc>
          <w:tcPr>
            <w:tcW w:type="dxa" w:w="1440"/>
            <w:tcW w:type="dxa" w:w="2454"/>
            <w:tcBorders>
              <w:left w:val="nil"/>
              <w:right w:val="nil"/>
              <w:top w:val="single" w:sz="8" w:space="0" w:color="000000"/>
              <w:bottom w:val="single" w:sz="4" w:space="0" w:color="000000"/>
            </w:tcBorders>
          </w:tcPr>
          <w:p>
            <w:pPr>
              <w:spacing w:before="40" w:after="40" w:line="240" w:lineRule="auto"/>
            </w:pPr>
            <w:r>
              <w:rPr>
                <w:b/>
                <w:sz w:val="16"/>
              </w:rPr>
              <w:t>Legal hook</w:t>
            </w:r>
          </w:p>
        </w:tc>
        <w:tc>
          <w:tcPr>
            <w:tcW w:type="dxa" w:w="1440"/>
            <w:tcW w:type="dxa" w:w="785"/>
            <w:tcBorders>
              <w:left w:val="nil"/>
              <w:right w:val="nil"/>
              <w:top w:val="single" w:sz="8" w:space="0" w:color="000000"/>
              <w:bottom w:val="single" w:sz="4" w:space="0" w:color="000000"/>
            </w:tcBorders>
          </w:tcPr>
          <w:p>
            <w:pPr>
              <w:spacing w:before="40" w:after="40" w:line="240" w:lineRule="auto"/>
            </w:pPr>
            <w:r>
              <w:rPr>
                <w:b/>
                <w:sz w:val="16"/>
              </w:rPr>
              <w:t>Value</w:t>
            </w:r>
          </w:p>
        </w:tc>
      </w:tr>
      <w:tr>
        <w:tc>
          <w:tcPr>
            <w:tcW w:type="dxa" w:w="1440"/>
            <w:tcW w:type="dxa" w:w="1528"/>
            <w:tcBorders>
              <w:left w:val="nil"/>
              <w:right w:val="nil"/>
              <w:top w:val="nil"/>
              <w:bottom w:val="nil"/>
            </w:tcBorders>
          </w:tcPr>
          <w:p>
            <w:pPr>
              <w:spacing w:before="40" w:after="40" w:line="240" w:lineRule="auto"/>
            </w:pPr>
            <w:r>
              <w:rPr>
                <w:sz w:val="16"/>
              </w:rPr>
              <w:t>Operating Procedures</w:t>
            </w:r>
          </w:p>
        </w:tc>
        <w:tc>
          <w:tcPr>
            <w:tcW w:type="dxa" w:w="1440"/>
            <w:tcW w:type="dxa" w:w="2005"/>
            <w:tcBorders>
              <w:left w:val="nil"/>
              <w:right w:val="nil"/>
              <w:top w:val="nil"/>
              <w:bottom w:val="nil"/>
            </w:tcBorders>
          </w:tcPr>
          <w:p>
            <w:pPr>
              <w:spacing w:before="40" w:after="40" w:line="240" w:lineRule="auto"/>
            </w:pPr>
            <w:r>
              <w:rPr>
                <w:sz w:val="16"/>
              </w:rPr>
              <w:t>Current, usable procedures for safe operation</w:t>
            </w:r>
          </w:p>
        </w:tc>
        <w:tc>
          <w:tcPr>
            <w:tcW w:type="dxa" w:w="1440"/>
            <w:tcW w:type="dxa" w:w="2534"/>
            <w:tcBorders>
              <w:left w:val="nil"/>
              <w:right w:val="nil"/>
              <w:top w:val="nil"/>
              <w:bottom w:val="nil"/>
            </w:tcBorders>
          </w:tcPr>
          <w:p>
            <w:pPr>
              <w:spacing w:before="40" w:after="40" w:line="240" w:lineRule="auto"/>
            </w:pPr>
            <w:r>
              <w:rPr>
                <w:sz w:val="16"/>
              </w:rPr>
              <w:t>Contractual characteristics; Transfer period; Degree of similarity (coded)</w:t>
            </w:r>
          </w:p>
        </w:tc>
        <w:tc>
          <w:tcPr>
            <w:tcW w:type="dxa" w:w="1440"/>
            <w:tcW w:type="dxa" w:w="2934"/>
            <w:tcBorders>
              <w:left w:val="nil"/>
              <w:right w:val="nil"/>
              <w:top w:val="nil"/>
              <w:bottom w:val="nil"/>
            </w:tcBorders>
          </w:tcPr>
          <w:p>
            <w:pPr>
              <w:spacing w:before="40" w:after="40" w:line="240" w:lineRule="auto"/>
            </w:pPr>
            <w:r>
              <w:rPr>
                <w:sz w:val="16"/>
              </w:rPr>
              <w:t>Absorbed operators ran inherited procedures with retained staff; the de novo acquirer lacked the operating knowledge the procedures assume</w:t>
            </w:r>
          </w:p>
        </w:tc>
        <w:tc>
          <w:tcPr>
            <w:tcW w:type="dxa" w:w="1440"/>
            <w:tcW w:type="dxa" w:w="2454"/>
            <w:tcBorders>
              <w:left w:val="nil"/>
              <w:right w:val="nil"/>
              <w:top w:val="nil"/>
              <w:bottom w:val="nil"/>
            </w:tcBorders>
          </w:tcPr>
          <w:p>
            <w:pPr>
              <w:spacing w:before="40" w:after="40" w:line="240" w:lineRule="auto"/>
            </w:pPr>
            <w:r>
              <w:rPr>
                <w:sz w:val="16"/>
              </w:rPr>
              <w:t>NUPRC Reg. 7(a); NOGICD Sections 43-47</w:t>
            </w:r>
          </w:p>
        </w:tc>
        <w:tc>
          <w:tcPr>
            <w:tcW w:type="dxa" w:w="1440"/>
            <w:tcW w:type="dxa" w:w="785"/>
            <w:tcBorders>
              <w:left w:val="nil"/>
              <w:right w:val="nil"/>
              <w:top w:val="nil"/>
              <w:bottom w:val="nil"/>
            </w:tcBorders>
          </w:tcPr>
          <w:p>
            <w:pPr>
              <w:spacing w:before="40" w:after="40" w:line="240" w:lineRule="auto"/>
            </w:pPr>
            <w:r>
              <w:rPr>
                <w:sz w:val="16"/>
              </w:rPr>
              <w:t>V1, V2, V7</w:t>
            </w:r>
          </w:p>
        </w:tc>
      </w:tr>
      <w:tr>
        <w:tc>
          <w:tcPr>
            <w:tcW w:type="dxa" w:w="1440"/>
            <w:tcW w:type="dxa" w:w="1528"/>
            <w:tcBorders>
              <w:left w:val="nil"/>
              <w:right w:val="nil"/>
              <w:top w:val="nil"/>
              <w:bottom w:val="nil"/>
            </w:tcBorders>
          </w:tcPr>
          <w:p>
            <w:pPr>
              <w:spacing w:before="40" w:after="40" w:line="240" w:lineRule="auto"/>
            </w:pPr>
            <w:r>
              <w:rPr>
                <w:sz w:val="16"/>
              </w:rPr>
              <w:t>Asset Integrity and Reliability</w:t>
            </w:r>
          </w:p>
        </w:tc>
        <w:tc>
          <w:tcPr>
            <w:tcW w:type="dxa" w:w="1440"/>
            <w:tcW w:type="dxa" w:w="2005"/>
            <w:tcBorders>
              <w:left w:val="nil"/>
              <w:right w:val="nil"/>
              <w:top w:val="nil"/>
              <w:bottom w:val="nil"/>
            </w:tcBorders>
          </w:tcPr>
          <w:p>
            <w:pPr>
              <w:spacing w:before="40" w:after="40" w:line="240" w:lineRule="auto"/>
            </w:pPr>
            <w:r>
              <w:rPr>
                <w:sz w:val="16"/>
              </w:rPr>
              <w:t>Mechanical integrity of equipment and wells</w:t>
            </w:r>
          </w:p>
        </w:tc>
        <w:tc>
          <w:tcPr>
            <w:tcW w:type="dxa" w:w="1440"/>
            <w:tcW w:type="dxa" w:w="2534"/>
            <w:tcBorders>
              <w:left w:val="nil"/>
              <w:right w:val="nil"/>
              <w:top w:val="nil"/>
              <w:bottom w:val="nil"/>
            </w:tcBorders>
          </w:tcPr>
          <w:p>
            <w:pPr>
              <w:spacing w:before="40" w:after="40" w:line="240" w:lineRule="auto"/>
            </w:pPr>
            <w:r>
              <w:rPr>
                <w:sz w:val="16"/>
              </w:rPr>
              <w:t>Contractual characteristics; Decision-making characteristics; Degree of similarity (coded)</w:t>
            </w:r>
          </w:p>
        </w:tc>
        <w:tc>
          <w:tcPr>
            <w:tcW w:type="dxa" w:w="1440"/>
            <w:tcW w:type="dxa" w:w="2934"/>
            <w:tcBorders>
              <w:left w:val="nil"/>
              <w:right w:val="nil"/>
              <w:top w:val="nil"/>
              <w:bottom w:val="nil"/>
            </w:tcBorders>
          </w:tcPr>
          <w:p>
            <w:pPr>
              <w:spacing w:before="40" w:after="40" w:line="240" w:lineRule="auto"/>
            </w:pPr>
            <w:r>
              <w:rPr>
                <w:sz w:val="16"/>
              </w:rPr>
              <w:t>Aiteo inherited a suspended, undecommissioned well at Santa Barbara against documented pre-transfer underinvestment and integrity failures</w:t>
            </w:r>
          </w:p>
        </w:tc>
        <w:tc>
          <w:tcPr>
            <w:tcW w:type="dxa" w:w="1440"/>
            <w:tcW w:type="dxa" w:w="2454"/>
            <w:tcBorders>
              <w:left w:val="nil"/>
              <w:right w:val="nil"/>
              <w:top w:val="nil"/>
              <w:bottom w:val="nil"/>
            </w:tcBorders>
          </w:tcPr>
          <w:p>
            <w:pPr>
              <w:spacing w:before="40" w:after="40" w:line="240" w:lineRule="auto"/>
            </w:pPr>
            <w:r>
              <w:rPr>
                <w:sz w:val="16"/>
              </w:rPr>
              <w:t>NUPRC Reg. 7(d) decommissioning and abandonment; pillar 4; PIA Sections 232-233</w:t>
            </w:r>
          </w:p>
        </w:tc>
        <w:tc>
          <w:tcPr>
            <w:tcW w:type="dxa" w:w="1440"/>
            <w:tcW w:type="dxa" w:w="785"/>
            <w:tcBorders>
              <w:left w:val="nil"/>
              <w:right w:val="nil"/>
              <w:top w:val="nil"/>
              <w:bottom w:val="nil"/>
            </w:tcBorders>
          </w:tcPr>
          <w:p>
            <w:pPr>
              <w:spacing w:before="40" w:after="40" w:line="240" w:lineRule="auto"/>
            </w:pPr>
            <w:r>
              <w:rPr>
                <w:sz w:val="16"/>
              </w:rPr>
              <w:t>V1, V2, V3, V8</w:t>
            </w:r>
          </w:p>
        </w:tc>
      </w:tr>
      <w:tr>
        <w:tc>
          <w:tcPr>
            <w:tcW w:type="dxa" w:w="1440"/>
            <w:tcW w:type="dxa" w:w="1528"/>
            <w:tcBorders>
              <w:left w:val="nil"/>
              <w:right w:val="nil"/>
              <w:top w:val="nil"/>
              <w:bottom w:val="nil"/>
            </w:tcBorders>
          </w:tcPr>
          <w:p>
            <w:pPr>
              <w:spacing w:before="40" w:after="40" w:line="240" w:lineRule="auto"/>
            </w:pPr>
            <w:r>
              <w:rPr>
                <w:sz w:val="16"/>
              </w:rPr>
              <w:t>Conduct of Operations</w:t>
            </w:r>
          </w:p>
        </w:tc>
        <w:tc>
          <w:tcPr>
            <w:tcW w:type="dxa" w:w="1440"/>
            <w:tcW w:type="dxa" w:w="2005"/>
            <w:tcBorders>
              <w:left w:val="nil"/>
              <w:right w:val="nil"/>
              <w:top w:val="nil"/>
              <w:bottom w:val="nil"/>
            </w:tcBorders>
          </w:tcPr>
          <w:p>
            <w:pPr>
              <w:spacing w:before="40" w:after="40" w:line="240" w:lineRule="auto"/>
            </w:pPr>
            <w:r>
              <w:rPr>
                <w:sz w:val="16"/>
              </w:rPr>
              <w:t>Disciplined execution of operating tasks</w:t>
            </w:r>
          </w:p>
        </w:tc>
        <w:tc>
          <w:tcPr>
            <w:tcW w:type="dxa" w:w="1440"/>
            <w:tcW w:type="dxa" w:w="2534"/>
            <w:tcBorders>
              <w:left w:val="nil"/>
              <w:right w:val="nil"/>
              <w:top w:val="nil"/>
              <w:bottom w:val="nil"/>
            </w:tcBorders>
          </w:tcPr>
          <w:p>
            <w:pPr>
              <w:spacing w:before="40" w:after="40" w:line="240" w:lineRule="auto"/>
            </w:pPr>
            <w:r>
              <w:rPr>
                <w:sz w:val="16"/>
              </w:rPr>
              <w:t>Decision-making characteristics; Availability; Proactivity; Provision of resources; Access to databases (coded)</w:t>
            </w:r>
          </w:p>
        </w:tc>
        <w:tc>
          <w:tcPr>
            <w:tcW w:type="dxa" w:w="1440"/>
            <w:tcW w:type="dxa" w:w="2934"/>
            <w:tcBorders>
              <w:left w:val="nil"/>
              <w:right w:val="nil"/>
              <w:top w:val="nil"/>
              <w:bottom w:val="nil"/>
            </w:tcBorders>
          </w:tcPr>
          <w:p>
            <w:pPr>
              <w:spacing w:before="40" w:after="40" w:line="240" w:lineRule="auto"/>
            </w:pPr>
            <w:r>
              <w:rPr>
                <w:sz w:val="16"/>
              </w:rPr>
              <w:t>Absorbed operators sustained operational control; the de novo acquirer’s control gap surfaced in the post-close incident</w:t>
            </w:r>
          </w:p>
        </w:tc>
        <w:tc>
          <w:tcPr>
            <w:tcW w:type="dxa" w:w="1440"/>
            <w:tcW w:type="dxa" w:w="2454"/>
            <w:tcBorders>
              <w:left w:val="nil"/>
              <w:right w:val="nil"/>
              <w:top w:val="nil"/>
              <w:bottom w:val="nil"/>
            </w:tcBorders>
          </w:tcPr>
          <w:p>
            <w:pPr>
              <w:spacing w:before="40" w:after="40" w:line="240" w:lineRule="auto"/>
            </w:pPr>
            <w:r>
              <w:rPr>
                <w:sz w:val="16"/>
              </w:rPr>
              <w:t>NUPRC Reg. 7(a); Reg. 7(5) competency</w:t>
            </w:r>
          </w:p>
        </w:tc>
        <w:tc>
          <w:tcPr>
            <w:tcW w:type="dxa" w:w="1440"/>
            <w:tcW w:type="dxa" w:w="785"/>
            <w:tcBorders>
              <w:left w:val="nil"/>
              <w:right w:val="nil"/>
              <w:top w:val="nil"/>
              <w:bottom w:val="nil"/>
            </w:tcBorders>
          </w:tcPr>
          <w:p>
            <w:pPr>
              <w:spacing w:before="40" w:after="40" w:line="240" w:lineRule="auto"/>
            </w:pPr>
            <w:r>
              <w:rPr>
                <w:sz w:val="16"/>
              </w:rPr>
              <w:t>V1, V2, V6, V7</w:t>
            </w:r>
          </w:p>
        </w:tc>
      </w:tr>
      <w:tr>
        <w:tc>
          <w:tcPr>
            <w:tcW w:type="dxa" w:w="1440"/>
            <w:tcW w:type="dxa" w:w="1528"/>
            <w:tcBorders>
              <w:left w:val="nil"/>
              <w:right w:val="nil"/>
              <w:top w:val="nil"/>
              <w:bottom w:val="nil"/>
            </w:tcBorders>
          </w:tcPr>
          <w:p>
            <w:pPr>
              <w:spacing w:before="40" w:after="40" w:line="240" w:lineRule="auto"/>
            </w:pPr>
            <w:r>
              <w:rPr>
                <w:sz w:val="16"/>
              </w:rPr>
              <w:t>Emergency Management</w:t>
            </w:r>
          </w:p>
        </w:tc>
        <w:tc>
          <w:tcPr>
            <w:tcW w:type="dxa" w:w="1440"/>
            <w:tcW w:type="dxa" w:w="2005"/>
            <w:tcBorders>
              <w:left w:val="nil"/>
              <w:right w:val="nil"/>
              <w:top w:val="nil"/>
              <w:bottom w:val="nil"/>
            </w:tcBorders>
          </w:tcPr>
          <w:p>
            <w:pPr>
              <w:spacing w:before="40" w:after="40" w:line="240" w:lineRule="auto"/>
            </w:pPr>
            <w:r>
              <w:rPr>
                <w:sz w:val="16"/>
              </w:rPr>
              <w:t>Plans, drills, and resources to respond to a crisis</w:t>
            </w:r>
          </w:p>
        </w:tc>
        <w:tc>
          <w:tcPr>
            <w:tcW w:type="dxa" w:w="1440"/>
            <w:tcW w:type="dxa" w:w="2534"/>
            <w:tcBorders>
              <w:left w:val="nil"/>
              <w:right w:val="nil"/>
              <w:top w:val="nil"/>
              <w:bottom w:val="nil"/>
            </w:tcBorders>
          </w:tcPr>
          <w:p>
            <w:pPr>
              <w:spacing w:before="40" w:after="40" w:line="240" w:lineRule="auto"/>
            </w:pPr>
            <w:r>
              <w:rPr>
                <w:sz w:val="16"/>
              </w:rPr>
              <w:t>Contractual characteristics (coded)</w:t>
            </w:r>
          </w:p>
        </w:tc>
        <w:tc>
          <w:tcPr>
            <w:tcW w:type="dxa" w:w="1440"/>
            <w:tcW w:type="dxa" w:w="2934"/>
            <w:tcBorders>
              <w:left w:val="nil"/>
              <w:right w:val="nil"/>
              <w:top w:val="nil"/>
              <w:bottom w:val="nil"/>
            </w:tcBorders>
          </w:tcPr>
          <w:p>
            <w:pPr>
              <w:spacing w:before="40" w:after="40" w:line="240" w:lineRule="auto"/>
            </w:pPr>
            <w:r>
              <w:rPr>
                <w:sz w:val="16"/>
              </w:rPr>
              <w:t>Aiteo well-control readiness evidence: no contingency plan, no standing well-control contract, Boots and Coots engaged only after the fact; NOSDRA found the incident exceeded Aiteo’s internal capacity</w:t>
            </w:r>
          </w:p>
        </w:tc>
        <w:tc>
          <w:tcPr>
            <w:tcW w:type="dxa" w:w="1440"/>
            <w:tcW w:type="dxa" w:w="2454"/>
            <w:tcBorders>
              <w:left w:val="nil"/>
              <w:right w:val="nil"/>
              <w:top w:val="nil"/>
              <w:bottom w:val="nil"/>
            </w:tcBorders>
          </w:tcPr>
          <w:p>
            <w:pPr>
              <w:spacing w:before="40" w:after="40" w:line="240" w:lineRule="auto"/>
            </w:pPr>
            <w:r>
              <w:rPr>
                <w:sz w:val="16"/>
              </w:rPr>
              <w:t>PIA Section 103 environmental remediation; NOSDRA oil-spill contingency duties; NUPRC Reg. 7(5) competency</w:t>
            </w:r>
          </w:p>
        </w:tc>
        <w:tc>
          <w:tcPr>
            <w:tcW w:type="dxa" w:w="1440"/>
            <w:tcW w:type="dxa" w:w="785"/>
            <w:tcBorders>
              <w:left w:val="nil"/>
              <w:right w:val="nil"/>
              <w:top w:val="nil"/>
              <w:bottom w:val="nil"/>
            </w:tcBorders>
          </w:tcPr>
          <w:p>
            <w:pPr>
              <w:spacing w:before="40" w:after="40" w:line="240" w:lineRule="auto"/>
            </w:pPr>
            <w:r>
              <w:rPr>
                <w:sz w:val="16"/>
              </w:rPr>
              <w:t>V2, V3, V4</w:t>
            </w:r>
          </w:p>
        </w:tc>
      </w:tr>
      <w:tr>
        <w:tc>
          <w:tcPr>
            <w:tcW w:type="dxa" w:w="1440"/>
            <w:tcW w:type="dxa" w:w="1528"/>
            <w:tcBorders>
              <w:left w:val="nil"/>
              <w:right w:val="nil"/>
              <w:top w:val="nil"/>
              <w:bottom w:val="nil"/>
            </w:tcBorders>
          </w:tcPr>
          <w:p>
            <w:pPr>
              <w:spacing w:before="40" w:after="40" w:line="240" w:lineRule="auto"/>
            </w:pPr>
            <w:r>
              <w:rPr>
                <w:sz w:val="16"/>
              </w:rPr>
              <w:t>Training and Performance Assurance</w:t>
            </w:r>
          </w:p>
        </w:tc>
        <w:tc>
          <w:tcPr>
            <w:tcW w:type="dxa" w:w="1440"/>
            <w:tcW w:type="dxa" w:w="2005"/>
            <w:tcBorders>
              <w:left w:val="nil"/>
              <w:right w:val="nil"/>
              <w:top w:val="nil"/>
              <w:bottom w:val="nil"/>
            </w:tcBorders>
          </w:tcPr>
          <w:p>
            <w:pPr>
              <w:spacing w:before="40" w:after="40" w:line="240" w:lineRule="auto"/>
            </w:pPr>
            <w:r>
              <w:rPr>
                <w:sz w:val="16"/>
              </w:rPr>
              <w:t>Verifying personnel can perform their roles</w:t>
            </w:r>
          </w:p>
        </w:tc>
        <w:tc>
          <w:tcPr>
            <w:tcW w:type="dxa" w:w="1440"/>
            <w:tcW w:type="dxa" w:w="2534"/>
            <w:tcBorders>
              <w:left w:val="nil"/>
              <w:right w:val="nil"/>
              <w:top w:val="nil"/>
              <w:bottom w:val="nil"/>
            </w:tcBorders>
          </w:tcPr>
          <w:p>
            <w:pPr>
              <w:spacing w:before="40" w:after="40" w:line="240" w:lineRule="auto"/>
            </w:pPr>
            <w:r>
              <w:rPr>
                <w:sz w:val="16"/>
              </w:rPr>
              <w:t>Transfer objectives; Transfer scope; Evaluation mechanism and method; Definition of routines; Mechanisms used (coded)</w:t>
            </w:r>
          </w:p>
        </w:tc>
        <w:tc>
          <w:tcPr>
            <w:tcW w:type="dxa" w:w="1440"/>
            <w:tcW w:type="dxa" w:w="2934"/>
            <w:tcBorders>
              <w:left w:val="nil"/>
              <w:right w:val="nil"/>
              <w:top w:val="nil"/>
              <w:bottom w:val="nil"/>
            </w:tcBorders>
          </w:tcPr>
          <w:p>
            <w:pPr>
              <w:spacing w:before="40" w:after="40" w:line="240" w:lineRule="auto"/>
            </w:pPr>
            <w:r>
              <w:rPr>
                <w:sz w:val="16"/>
              </w:rPr>
              <w:t>The understudy logic: absorbed operators carried verified competency; the de novo acquirer’s gap was not closed before operatorship</w:t>
            </w:r>
          </w:p>
        </w:tc>
        <w:tc>
          <w:tcPr>
            <w:tcW w:type="dxa" w:w="1440"/>
            <w:tcW w:type="dxa" w:w="2454"/>
            <w:tcBorders>
              <w:left w:val="nil"/>
              <w:right w:val="nil"/>
              <w:top w:val="nil"/>
              <w:bottom w:val="nil"/>
            </w:tcBorders>
          </w:tcPr>
          <w:p>
            <w:pPr>
              <w:spacing w:before="40" w:after="40" w:line="240" w:lineRule="auto"/>
            </w:pPr>
            <w:r>
              <w:rPr>
                <w:sz w:val="16"/>
              </w:rPr>
              <w:t>NOGICD Section 31 understudy succession (analogy); Sections 29-30 training plan</w:t>
            </w:r>
          </w:p>
        </w:tc>
        <w:tc>
          <w:tcPr>
            <w:tcW w:type="dxa" w:w="1440"/>
            <w:tcW w:type="dxa" w:w="785"/>
            <w:tcBorders>
              <w:left w:val="nil"/>
              <w:right w:val="nil"/>
              <w:top w:val="nil"/>
              <w:bottom w:val="nil"/>
            </w:tcBorders>
          </w:tcPr>
          <w:p>
            <w:pPr>
              <w:spacing w:before="40" w:after="40" w:line="240" w:lineRule="auto"/>
            </w:pPr>
            <w:r>
              <w:rPr>
                <w:sz w:val="16"/>
              </w:rPr>
              <w:t>V2, V3, V5</w:t>
            </w:r>
          </w:p>
        </w:tc>
      </w:tr>
      <w:tr>
        <w:tc>
          <w:tcPr>
            <w:tcW w:type="dxa" w:w="1440"/>
            <w:tcW w:type="dxa" w:w="1528"/>
            <w:tcBorders>
              <w:left w:val="nil"/>
              <w:right w:val="nil"/>
              <w:top w:val="nil"/>
              <w:bottom w:val="nil"/>
            </w:tcBorders>
          </w:tcPr>
          <w:p>
            <w:pPr>
              <w:spacing w:before="40" w:after="40" w:line="240" w:lineRule="auto"/>
            </w:pPr>
            <w:r>
              <w:rPr>
                <w:sz w:val="16"/>
              </w:rPr>
              <w:t>Management of Change</w:t>
            </w:r>
          </w:p>
        </w:tc>
        <w:tc>
          <w:tcPr>
            <w:tcW w:type="dxa" w:w="1440"/>
            <w:tcW w:type="dxa" w:w="2005"/>
            <w:tcBorders>
              <w:left w:val="nil"/>
              <w:right w:val="nil"/>
              <w:top w:val="nil"/>
              <w:bottom w:val="nil"/>
            </w:tcBorders>
          </w:tcPr>
          <w:p>
            <w:pPr>
              <w:spacing w:before="40" w:after="40" w:line="240" w:lineRule="auto"/>
            </w:pPr>
            <w:r>
              <w:rPr>
                <w:sz w:val="16"/>
              </w:rPr>
              <w:t>Controlling changes to process, plant, and people</w:t>
            </w:r>
          </w:p>
        </w:tc>
        <w:tc>
          <w:tcPr>
            <w:tcW w:type="dxa" w:w="1440"/>
            <w:tcW w:type="dxa" w:w="2534"/>
            <w:tcBorders>
              <w:left w:val="nil"/>
              <w:right w:val="nil"/>
              <w:top w:val="nil"/>
              <w:bottom w:val="nil"/>
            </w:tcBorders>
          </w:tcPr>
          <w:p>
            <w:pPr>
              <w:spacing w:before="40" w:after="40" w:line="240" w:lineRule="auto"/>
            </w:pPr>
            <w:r>
              <w:rPr>
                <w:sz w:val="16"/>
              </w:rPr>
              <w:t>Availability; Proactivity (coded)</w:t>
            </w:r>
          </w:p>
        </w:tc>
        <w:tc>
          <w:tcPr>
            <w:tcW w:type="dxa" w:w="1440"/>
            <w:tcW w:type="dxa" w:w="2934"/>
            <w:tcBorders>
              <w:left w:val="nil"/>
              <w:right w:val="nil"/>
              <w:top w:val="nil"/>
              <w:bottom w:val="nil"/>
            </w:tcBorders>
          </w:tcPr>
          <w:p>
            <w:pPr>
              <w:spacing w:before="40" w:after="40" w:line="240" w:lineRule="auto"/>
            </w:pPr>
            <w:r>
              <w:rPr>
                <w:sz w:val="16"/>
              </w:rPr>
              <w:t>[extended] Direct documentary evidence on internal change control is limited (a Section 4.8 documentary boundary); inferred from the ownership-and-team turnover at handover</w:t>
            </w:r>
          </w:p>
        </w:tc>
        <w:tc>
          <w:tcPr>
            <w:tcW w:type="dxa" w:w="1440"/>
            <w:tcW w:type="dxa" w:w="2454"/>
            <w:tcBorders>
              <w:left w:val="nil"/>
              <w:right w:val="nil"/>
              <w:top w:val="nil"/>
              <w:bottom w:val="nil"/>
            </w:tcBorders>
          </w:tcPr>
          <w:p>
            <w:pPr>
              <w:spacing w:before="40" w:after="40" w:line="240" w:lineRule="auto"/>
            </w:pPr>
            <w:r>
              <w:rPr>
                <w:sz w:val="16"/>
              </w:rPr>
              <w:t>NUPRC Reg. 7(a)</w:t>
            </w:r>
          </w:p>
        </w:tc>
        <w:tc>
          <w:tcPr>
            <w:tcW w:type="dxa" w:w="1440"/>
            <w:tcW w:type="dxa" w:w="785"/>
            <w:tcBorders>
              <w:left w:val="nil"/>
              <w:right w:val="nil"/>
              <w:top w:val="nil"/>
              <w:bottom w:val="nil"/>
            </w:tcBorders>
          </w:tcPr>
          <w:p>
            <w:pPr>
              <w:spacing w:before="40" w:after="40" w:line="240" w:lineRule="auto"/>
            </w:pPr>
            <w:r>
              <w:rPr>
                <w:sz w:val="16"/>
              </w:rPr>
              <w:t>V2, V3</w:t>
            </w:r>
          </w:p>
        </w:tc>
      </w:tr>
      <w:tr>
        <w:tc>
          <w:tcPr>
            <w:tcW w:type="dxa" w:w="1440"/>
            <w:tcW w:type="dxa" w:w="1528"/>
            <w:tcBorders>
              <w:left w:val="nil"/>
              <w:right w:val="nil"/>
              <w:top w:val="nil"/>
              <w:bottom w:val="nil"/>
            </w:tcBorders>
          </w:tcPr>
          <w:p>
            <w:pPr>
              <w:spacing w:before="40" w:after="40" w:line="240" w:lineRule="auto"/>
            </w:pPr>
            <w:r>
              <w:rPr>
                <w:sz w:val="16"/>
              </w:rPr>
              <w:t>Contractor Management</w:t>
            </w:r>
          </w:p>
        </w:tc>
        <w:tc>
          <w:tcPr>
            <w:tcW w:type="dxa" w:w="1440"/>
            <w:tcW w:type="dxa" w:w="2005"/>
            <w:tcBorders>
              <w:left w:val="nil"/>
              <w:right w:val="nil"/>
              <w:top w:val="nil"/>
              <w:bottom w:val="nil"/>
            </w:tcBorders>
          </w:tcPr>
          <w:p>
            <w:pPr>
              <w:spacing w:before="40" w:after="40" w:line="240" w:lineRule="auto"/>
            </w:pPr>
            <w:r>
              <w:rPr>
                <w:sz w:val="16"/>
              </w:rPr>
              <w:t>Selecting and overseeing contractors</w:t>
            </w:r>
          </w:p>
        </w:tc>
        <w:tc>
          <w:tcPr>
            <w:tcW w:type="dxa" w:w="1440"/>
            <w:tcW w:type="dxa" w:w="2534"/>
            <w:tcBorders>
              <w:left w:val="nil"/>
              <w:right w:val="nil"/>
              <w:top w:val="nil"/>
              <w:bottom w:val="nil"/>
            </w:tcBorders>
          </w:tcPr>
          <w:p>
            <w:pPr>
              <w:spacing w:before="40" w:after="40" w:line="240" w:lineRule="auto"/>
            </w:pPr>
            <w:r>
              <w:rPr>
                <w:sz w:val="16"/>
              </w:rPr>
              <w:t>Provision of resources; Responsibility for the transfer [extended]</w:t>
            </w:r>
          </w:p>
        </w:tc>
        <w:tc>
          <w:tcPr>
            <w:tcW w:type="dxa" w:w="1440"/>
            <w:tcW w:type="dxa" w:w="2934"/>
            <w:tcBorders>
              <w:left w:val="nil"/>
              <w:right w:val="nil"/>
              <w:top w:val="nil"/>
              <w:bottom w:val="nil"/>
            </w:tcBorders>
          </w:tcPr>
          <w:p>
            <w:pPr>
              <w:spacing w:before="40" w:after="40" w:line="240" w:lineRule="auto"/>
            </w:pPr>
            <w:r>
              <w:rPr>
                <w:sz w:val="16"/>
              </w:rPr>
              <w:t>Aiteo’s after-the-fact engagement of Boots and Coots is a contractor-management failure for crisis response; Shoreline’s use of Salvic as technical operator is contractor architecture done well</w:t>
            </w:r>
          </w:p>
        </w:tc>
        <w:tc>
          <w:tcPr>
            <w:tcW w:type="dxa" w:w="1440"/>
            <w:tcW w:type="dxa" w:w="2454"/>
            <w:tcBorders>
              <w:left w:val="nil"/>
              <w:right w:val="nil"/>
              <w:top w:val="nil"/>
              <w:bottom w:val="nil"/>
            </w:tcBorders>
          </w:tcPr>
          <w:p>
            <w:pPr>
              <w:spacing w:before="40" w:after="40" w:line="240" w:lineRule="auto"/>
            </w:pPr>
            <w:r>
              <w:rPr>
                <w:sz w:val="16"/>
              </w:rPr>
              <w:t>NUPRC Reg. 7(5) “own resources or those available within its group”; Reg. 7(a)</w:t>
            </w:r>
          </w:p>
        </w:tc>
        <w:tc>
          <w:tcPr>
            <w:tcW w:type="dxa" w:w="1440"/>
            <w:tcW w:type="dxa" w:w="785"/>
            <w:tcBorders>
              <w:left w:val="nil"/>
              <w:right w:val="nil"/>
              <w:top w:val="nil"/>
              <w:bottom w:val="nil"/>
            </w:tcBorders>
          </w:tcPr>
          <w:p>
            <w:pPr>
              <w:spacing w:before="40" w:after="40" w:line="240" w:lineRule="auto"/>
            </w:pPr>
            <w:r>
              <w:rPr>
                <w:sz w:val="16"/>
              </w:rPr>
              <w:t>V2, V3</w:t>
            </w:r>
          </w:p>
        </w:tc>
      </w:tr>
      <w:tr>
        <w:tc>
          <w:tcPr>
            <w:tcW w:type="dxa" w:w="1440"/>
            <w:tcW w:type="dxa" w:w="1528"/>
            <w:tcBorders>
              <w:left w:val="nil"/>
              <w:right w:val="nil"/>
              <w:top w:val="nil"/>
              <w:bottom w:val="nil"/>
            </w:tcBorders>
          </w:tcPr>
          <w:p>
            <w:pPr>
              <w:spacing w:before="40" w:after="40" w:line="240" w:lineRule="auto"/>
            </w:pPr>
            <w:r>
              <w:rPr>
                <w:sz w:val="16"/>
              </w:rPr>
              <w:t>Safe Work Practices</w:t>
            </w:r>
          </w:p>
        </w:tc>
        <w:tc>
          <w:tcPr>
            <w:tcW w:type="dxa" w:w="1440"/>
            <w:tcW w:type="dxa" w:w="2005"/>
            <w:tcBorders>
              <w:left w:val="nil"/>
              <w:right w:val="nil"/>
              <w:top w:val="nil"/>
              <w:bottom w:val="nil"/>
            </w:tcBorders>
          </w:tcPr>
          <w:p>
            <w:pPr>
              <w:spacing w:before="40" w:after="40" w:line="240" w:lineRule="auto"/>
            </w:pPr>
            <w:r>
              <w:rPr>
                <w:sz w:val="16"/>
              </w:rPr>
              <w:t>Permit-to-work and hazardous-task controls</w:t>
            </w:r>
          </w:p>
        </w:tc>
        <w:tc>
          <w:tcPr>
            <w:tcW w:type="dxa" w:w="1440"/>
            <w:tcW w:type="dxa" w:w="2534"/>
            <w:tcBorders>
              <w:left w:val="nil"/>
              <w:right w:val="nil"/>
              <w:top w:val="nil"/>
              <w:bottom w:val="nil"/>
            </w:tcBorders>
          </w:tcPr>
          <w:p>
            <w:pPr>
              <w:spacing w:before="40" w:after="40" w:line="240" w:lineRule="auto"/>
            </w:pPr>
            <w:r>
              <w:rPr>
                <w:sz w:val="16"/>
              </w:rPr>
              <w:t>Definition of routines; Mechanisms used [extended]</w:t>
            </w:r>
          </w:p>
        </w:tc>
        <w:tc>
          <w:tcPr>
            <w:tcW w:type="dxa" w:w="1440"/>
            <w:tcW w:type="dxa" w:w="2934"/>
            <w:tcBorders>
              <w:left w:val="nil"/>
              <w:right w:val="nil"/>
              <w:top w:val="nil"/>
              <w:bottom w:val="nil"/>
            </w:tcBorders>
          </w:tcPr>
          <w:p>
            <w:pPr>
              <w:spacing w:before="40" w:after="40" w:line="240" w:lineRule="auto"/>
            </w:pPr>
            <w:r>
              <w:rPr>
                <w:sz w:val="16"/>
              </w:rPr>
              <w:t>[extended] Inferred from the operating-discipline differences between absorbed and de novo operators; not separately coded in the source</w:t>
            </w:r>
          </w:p>
        </w:tc>
        <w:tc>
          <w:tcPr>
            <w:tcW w:type="dxa" w:w="1440"/>
            <w:tcW w:type="dxa" w:w="2454"/>
            <w:tcBorders>
              <w:left w:val="nil"/>
              <w:right w:val="nil"/>
              <w:top w:val="nil"/>
              <w:bottom w:val="nil"/>
            </w:tcBorders>
          </w:tcPr>
          <w:p>
            <w:pPr>
              <w:spacing w:before="40" w:after="40" w:line="240" w:lineRule="auto"/>
            </w:pPr>
            <w:r>
              <w:rPr>
                <w:sz w:val="16"/>
              </w:rPr>
              <w:t>NUPRC Reg. 7(a)</w:t>
            </w:r>
          </w:p>
        </w:tc>
        <w:tc>
          <w:tcPr>
            <w:tcW w:type="dxa" w:w="1440"/>
            <w:tcW w:type="dxa" w:w="785"/>
            <w:tcBorders>
              <w:left w:val="nil"/>
              <w:right w:val="nil"/>
              <w:top w:val="nil"/>
              <w:bottom w:val="nil"/>
            </w:tcBorders>
          </w:tcPr>
          <w:p>
            <w:pPr>
              <w:spacing w:before="40" w:after="40" w:line="240" w:lineRule="auto"/>
            </w:pPr>
            <w:r>
              <w:rPr>
                <w:sz w:val="16"/>
              </w:rPr>
              <w:t>V2, V3</w:t>
            </w:r>
          </w:p>
        </w:tc>
      </w:tr>
      <w:tr>
        <w:tc>
          <w:tcPr>
            <w:tcW w:type="dxa" w:w="1440"/>
            <w:tcW w:type="dxa" w:w="1528"/>
            <w:tcBorders>
              <w:left w:val="nil"/>
              <w:right w:val="nil"/>
              <w:top w:val="nil"/>
              <w:bottom w:val="single" w:sz="8" w:space="0" w:color="000000"/>
            </w:tcBorders>
          </w:tcPr>
          <w:p>
            <w:pPr>
              <w:spacing w:before="40" w:after="40" w:line="240" w:lineRule="auto"/>
            </w:pPr>
            <w:r>
              <w:rPr>
                <w:sz w:val="16"/>
              </w:rPr>
              <w:t>Operational Readiness</w:t>
            </w:r>
          </w:p>
        </w:tc>
        <w:tc>
          <w:tcPr>
            <w:tcW w:type="dxa" w:w="1440"/>
            <w:tcW w:type="dxa" w:w="2005"/>
            <w:tcBorders>
              <w:left w:val="nil"/>
              <w:right w:val="nil"/>
              <w:top w:val="nil"/>
              <w:bottom w:val="single" w:sz="8" w:space="0" w:color="000000"/>
            </w:tcBorders>
          </w:tcPr>
          <w:p>
            <w:pPr>
              <w:spacing w:before="40" w:after="40" w:line="240" w:lineRule="auto"/>
            </w:pPr>
            <w:r>
              <w:rPr>
                <w:sz w:val="16"/>
              </w:rPr>
              <w:t>Confirming a facility is ready to operate or restart</w:t>
            </w:r>
          </w:p>
        </w:tc>
        <w:tc>
          <w:tcPr>
            <w:tcW w:type="dxa" w:w="1440"/>
            <w:tcW w:type="dxa" w:w="2534"/>
            <w:tcBorders>
              <w:left w:val="nil"/>
              <w:right w:val="nil"/>
              <w:top w:val="nil"/>
              <w:bottom w:val="single" w:sz="8" w:space="0" w:color="000000"/>
            </w:tcBorders>
          </w:tcPr>
          <w:p>
            <w:pPr>
              <w:spacing w:before="40" w:after="40" w:line="240" w:lineRule="auto"/>
            </w:pPr>
            <w:r>
              <w:rPr>
                <w:sz w:val="16"/>
              </w:rPr>
              <w:t>Transfer period; Provision of resources [extended]</w:t>
            </w:r>
          </w:p>
        </w:tc>
        <w:tc>
          <w:tcPr>
            <w:tcW w:type="dxa" w:w="1440"/>
            <w:tcW w:type="dxa" w:w="2934"/>
            <w:tcBorders>
              <w:left w:val="nil"/>
              <w:right w:val="nil"/>
              <w:top w:val="nil"/>
              <w:bottom w:val="single" w:sz="8" w:space="0" w:color="000000"/>
            </w:tcBorders>
          </w:tcPr>
          <w:p>
            <w:pPr>
              <w:spacing w:before="40" w:after="40" w:line="240" w:lineRule="auto"/>
            </w:pPr>
            <w:r>
              <w:rPr>
                <w:sz w:val="16"/>
              </w:rPr>
              <w:t>[extended] Supports the staged-operatorship lever: readiness must be demonstrated before operatorship transfers; the suspended Santa Barbara well is the unreadiness signal</w:t>
            </w:r>
          </w:p>
        </w:tc>
        <w:tc>
          <w:tcPr>
            <w:tcW w:type="dxa" w:w="1440"/>
            <w:tcW w:type="dxa" w:w="2454"/>
            <w:tcBorders>
              <w:left w:val="nil"/>
              <w:right w:val="nil"/>
              <w:top w:val="nil"/>
              <w:bottom w:val="single" w:sz="8" w:space="0" w:color="000000"/>
            </w:tcBorders>
          </w:tcPr>
          <w:p>
            <w:pPr>
              <w:spacing w:before="40" w:after="40" w:line="240" w:lineRule="auto"/>
            </w:pPr>
            <w:r>
              <w:rPr>
                <w:sz w:val="16"/>
              </w:rPr>
              <w:t>NUPRC Reg. 7(4) site visit for competency evaluation</w:t>
            </w:r>
          </w:p>
        </w:tc>
        <w:tc>
          <w:tcPr>
            <w:tcW w:type="dxa" w:w="1440"/>
            <w:tcW w:type="dxa" w:w="785"/>
            <w:tcBorders>
              <w:left w:val="nil"/>
              <w:right w:val="nil"/>
              <w:top w:val="nil"/>
              <w:bottom w:val="single" w:sz="8" w:space="0" w:color="000000"/>
            </w:tcBorders>
          </w:tcPr>
          <w:p>
            <w:pPr>
              <w:spacing w:before="40" w:after="40" w:line="240" w:lineRule="auto"/>
            </w:pPr>
            <w:r>
              <w:rPr>
                <w:sz w:val="16"/>
              </w:rPr>
              <w:t>V1, V2, V7, V8</w:t>
            </w:r>
          </w:p>
        </w:tc>
      </w:tr>
    </w:tbl>
    <w:p>
      <w:pPr>
        <w:sectPr>
          <w:pgSz w:w="15840" w:h="12240" w:orient="landscape"/>
          <w:pgMar w:top="1440" w:bottom="1440" w:left="1800" w:right="1800" w:header="720" w:footer="720" w:gutter="0"/>
        </w:sectPr>
      </w:pPr>
    </w:p>
    <w:bookmarkEnd w:id="25"/>
    <w:bookmarkStart w:id="26" w:name="pillar-4-learn-from-experience"/>
    <w:p>
      <w:pPr>
        <w:pStyle w:val="Heading2"/>
        <w:sectPr>
          <w:pgSz w:w="12240" w:h="15840"/>
          <w:pgMar w:top="1440" w:bottom="1440" w:left="1800" w:right="1800" w:header="720" w:footer="720" w:gutter="0"/>
        </w:sectPr>
      </w:pPr>
      <w:r>
        <w:t xml:space="preserve">Pillar 4: Learn from Experience</w:t>
      </w:r>
    </w:p>
    <w:p>
      <w:pPr>
        <w:pStyle w:val="FirstParagraph"/>
      </w:pPr>
      <w:r>
        <w:rPr>
          <w:bCs/>
          <w:b/>
        </w:rPr>
        <w:t xml:space="preserve">Table G.5. RBPS Pillar 4 (Learn from Experience): each element and the transfer factor that governs whether it survives a handover. No Pillar 4 element is directly coded in the source content analysis; all are extended from this thesis’s cases and the proposed post-transfer verification.</w:t>
      </w:r>
    </w:p>
    <w:tbl>
      <w:tblPr>
        <w:tblW w:type="auto" w:w="0"/>
        <w:tblLook w:firstColumn="1" w:firstRow="1" w:lastColumn="0" w:lastRow="0" w:noHBand="0" w:noVBand="1" w:val="04A0"/>
        <w:tblLayout w:type="fixed"/>
        <w:tblW w:type="dxa" w:w="12240"/>
      </w:tblPr>
      <w:tblGrid>
        <w:gridCol w:w="1860"/>
        <w:gridCol w:w="1771"/>
        <w:gridCol w:w="2203"/>
        <w:gridCol w:w="3088"/>
        <w:gridCol w:w="2631"/>
        <w:gridCol w:w="687"/>
      </w:tblGrid>
      <w:tr>
        <w:tc>
          <w:tcPr>
            <w:tcW w:type="dxa" w:w="1440"/>
            <w:tcW w:type="dxa" w:w="1860"/>
            <w:tcBorders>
              <w:left w:val="nil"/>
              <w:right w:val="nil"/>
              <w:top w:val="single" w:sz="8" w:space="0" w:color="000000"/>
              <w:bottom w:val="single" w:sz="4" w:space="0" w:color="000000"/>
            </w:tcBorders>
          </w:tcPr>
          <w:p>
            <w:pPr>
              <w:spacing w:before="40" w:after="40" w:line="240" w:lineRule="auto"/>
            </w:pPr>
            <w:r>
              <w:rPr>
                <w:b/>
                <w:sz w:val="16"/>
              </w:rPr>
              <w:t>RBPS element</w:t>
            </w:r>
          </w:p>
        </w:tc>
        <w:tc>
          <w:tcPr>
            <w:tcW w:type="dxa" w:w="1440"/>
            <w:tcW w:type="dxa" w:w="1771"/>
            <w:tcBorders>
              <w:left w:val="nil"/>
              <w:right w:val="nil"/>
              <w:top w:val="single" w:sz="8" w:space="0" w:color="000000"/>
              <w:bottom w:val="single" w:sz="4" w:space="0" w:color="000000"/>
            </w:tcBorders>
          </w:tcPr>
          <w:p>
            <w:pPr>
              <w:spacing w:before="40" w:after="40" w:line="240" w:lineRule="auto"/>
            </w:pPr>
            <w:r>
              <w:rPr>
                <w:b/>
                <w:sz w:val="16"/>
              </w:rPr>
              <w:t>What it is</w:t>
            </w:r>
          </w:p>
        </w:tc>
        <w:tc>
          <w:tcPr>
            <w:tcW w:type="dxa" w:w="1440"/>
            <w:tcW w:type="dxa" w:w="2203"/>
            <w:tcBorders>
              <w:left w:val="nil"/>
              <w:right w:val="nil"/>
              <w:top w:val="single" w:sz="8" w:space="0" w:color="000000"/>
              <w:bottom w:val="single" w:sz="4" w:space="0" w:color="000000"/>
            </w:tcBorders>
          </w:tcPr>
          <w:p>
            <w:pPr>
              <w:spacing w:before="40" w:after="40" w:line="240" w:lineRule="auto"/>
            </w:pPr>
            <w:r>
              <w:rPr>
                <w:b/>
                <w:sz w:val="16"/>
              </w:rPr>
              <w:t>Governing IKT element(s)</w:t>
            </w:r>
          </w:p>
        </w:tc>
        <w:tc>
          <w:tcPr>
            <w:tcW w:type="dxa" w:w="1440"/>
            <w:tcW w:type="dxa" w:w="3088"/>
            <w:tcBorders>
              <w:left w:val="nil"/>
              <w:right w:val="nil"/>
              <w:top w:val="single" w:sz="8" w:space="0" w:color="000000"/>
              <w:bottom w:val="single" w:sz="4" w:space="0" w:color="000000"/>
            </w:tcBorders>
          </w:tcPr>
          <w:p>
            <w:pPr>
              <w:spacing w:before="40" w:after="40" w:line="240" w:lineRule="auto"/>
            </w:pPr>
            <w:r>
              <w:rPr>
                <w:b/>
                <w:sz w:val="16"/>
              </w:rPr>
              <w:t>Chapter 4 finding</w:t>
            </w:r>
          </w:p>
        </w:tc>
        <w:tc>
          <w:tcPr>
            <w:tcW w:type="dxa" w:w="1440"/>
            <w:tcW w:type="dxa" w:w="2631"/>
            <w:tcBorders>
              <w:left w:val="nil"/>
              <w:right w:val="nil"/>
              <w:top w:val="single" w:sz="8" w:space="0" w:color="000000"/>
              <w:bottom w:val="single" w:sz="4" w:space="0" w:color="000000"/>
            </w:tcBorders>
          </w:tcPr>
          <w:p>
            <w:pPr>
              <w:spacing w:before="40" w:after="40" w:line="240" w:lineRule="auto"/>
            </w:pPr>
            <w:r>
              <w:rPr>
                <w:b/>
                <w:sz w:val="16"/>
              </w:rPr>
              <w:t>Legal hook</w:t>
            </w:r>
          </w:p>
        </w:tc>
        <w:tc>
          <w:tcPr>
            <w:tcW w:type="dxa" w:w="1440"/>
            <w:tcW w:type="dxa" w:w="687"/>
            <w:tcBorders>
              <w:left w:val="nil"/>
              <w:right w:val="nil"/>
              <w:top w:val="single" w:sz="8" w:space="0" w:color="000000"/>
              <w:bottom w:val="single" w:sz="4" w:space="0" w:color="000000"/>
            </w:tcBorders>
          </w:tcPr>
          <w:p>
            <w:pPr>
              <w:spacing w:before="40" w:after="40" w:line="240" w:lineRule="auto"/>
            </w:pPr>
            <w:r>
              <w:rPr>
                <w:b/>
                <w:sz w:val="16"/>
              </w:rPr>
              <w:t>Value</w:t>
            </w:r>
          </w:p>
        </w:tc>
      </w:tr>
      <w:tr>
        <w:tc>
          <w:tcPr>
            <w:tcW w:type="dxa" w:w="1440"/>
            <w:tcW w:type="dxa" w:w="1860"/>
            <w:tcBorders>
              <w:left w:val="nil"/>
              <w:right w:val="nil"/>
              <w:top w:val="nil"/>
              <w:bottom w:val="nil"/>
            </w:tcBorders>
          </w:tcPr>
          <w:p>
            <w:pPr>
              <w:spacing w:before="40" w:after="40" w:line="240" w:lineRule="auto"/>
            </w:pPr>
            <w:r>
              <w:rPr>
                <w:sz w:val="16"/>
              </w:rPr>
              <w:t>Incident Investigation</w:t>
            </w:r>
          </w:p>
        </w:tc>
        <w:tc>
          <w:tcPr>
            <w:tcW w:type="dxa" w:w="1440"/>
            <w:tcW w:type="dxa" w:w="1771"/>
            <w:tcBorders>
              <w:left w:val="nil"/>
              <w:right w:val="nil"/>
              <w:top w:val="nil"/>
              <w:bottom w:val="nil"/>
            </w:tcBorders>
          </w:tcPr>
          <w:p>
            <w:pPr>
              <w:spacing w:before="40" w:after="40" w:line="240" w:lineRule="auto"/>
            </w:pPr>
            <w:r>
              <w:rPr>
                <w:sz w:val="16"/>
              </w:rPr>
              <w:t>Learning from incidents and near-misses</w:t>
            </w:r>
          </w:p>
        </w:tc>
        <w:tc>
          <w:tcPr>
            <w:tcW w:type="dxa" w:w="1440"/>
            <w:tcW w:type="dxa" w:w="2203"/>
            <w:tcBorders>
              <w:left w:val="nil"/>
              <w:right w:val="nil"/>
              <w:top w:val="nil"/>
              <w:bottom w:val="nil"/>
            </w:tcBorders>
          </w:tcPr>
          <w:p>
            <w:pPr>
              <w:spacing w:before="40" w:after="40" w:line="240" w:lineRule="auto"/>
            </w:pPr>
            <w:r>
              <w:rPr>
                <w:sz w:val="16"/>
              </w:rPr>
              <w:t>Lessons learned; Previous experiences [extended]</w:t>
            </w:r>
          </w:p>
        </w:tc>
        <w:tc>
          <w:tcPr>
            <w:tcW w:type="dxa" w:w="1440"/>
            <w:tcW w:type="dxa" w:w="3088"/>
            <w:tcBorders>
              <w:left w:val="nil"/>
              <w:right w:val="nil"/>
              <w:top w:val="nil"/>
              <w:bottom w:val="nil"/>
            </w:tcBorders>
          </w:tcPr>
          <w:p>
            <w:pPr>
              <w:spacing w:before="40" w:after="40" w:line="240" w:lineRule="auto"/>
            </w:pPr>
            <w:r>
              <w:rPr>
                <w:sz w:val="16"/>
              </w:rPr>
              <w:t>[extended] A de novo operator without retained institutional memory cannot investigate against prior incident history it never received</w:t>
            </w:r>
          </w:p>
        </w:tc>
        <w:tc>
          <w:tcPr>
            <w:tcW w:type="dxa" w:w="1440"/>
            <w:tcW w:type="dxa" w:w="2631"/>
            <w:tcBorders>
              <w:left w:val="nil"/>
              <w:right w:val="nil"/>
              <w:top w:val="nil"/>
              <w:bottom w:val="nil"/>
            </w:tcBorders>
          </w:tcPr>
          <w:p>
            <w:pPr>
              <w:spacing w:before="40" w:after="40" w:line="240" w:lineRule="auto"/>
            </w:pPr>
            <w:r>
              <w:rPr>
                <w:sz w:val="16"/>
              </w:rPr>
              <w:t>NOSDRA reporting duties; PIA Section 103</w:t>
            </w:r>
          </w:p>
        </w:tc>
        <w:tc>
          <w:tcPr>
            <w:tcW w:type="dxa" w:w="1440"/>
            <w:tcW w:type="dxa" w:w="687"/>
            <w:tcBorders>
              <w:left w:val="nil"/>
              <w:right w:val="nil"/>
              <w:top w:val="nil"/>
              <w:bottom w:val="nil"/>
            </w:tcBorders>
          </w:tcPr>
          <w:p>
            <w:pPr>
              <w:spacing w:before="40" w:after="40" w:line="240" w:lineRule="auto"/>
            </w:pPr>
            <w:r>
              <w:rPr>
                <w:sz w:val="16"/>
              </w:rPr>
              <w:t>V2, V3</w:t>
            </w:r>
          </w:p>
        </w:tc>
      </w:tr>
      <w:tr>
        <w:tc>
          <w:tcPr>
            <w:tcW w:type="dxa" w:w="1440"/>
            <w:tcW w:type="dxa" w:w="1860"/>
            <w:tcBorders>
              <w:left w:val="nil"/>
              <w:right w:val="nil"/>
              <w:top w:val="nil"/>
              <w:bottom w:val="nil"/>
            </w:tcBorders>
          </w:tcPr>
          <w:p>
            <w:pPr>
              <w:spacing w:before="40" w:after="40" w:line="240" w:lineRule="auto"/>
            </w:pPr>
            <w:r>
              <w:rPr>
                <w:sz w:val="16"/>
              </w:rPr>
              <w:t>Measurement and Metrics</w:t>
            </w:r>
          </w:p>
        </w:tc>
        <w:tc>
          <w:tcPr>
            <w:tcW w:type="dxa" w:w="1440"/>
            <w:tcW w:type="dxa" w:w="1771"/>
            <w:tcBorders>
              <w:left w:val="nil"/>
              <w:right w:val="nil"/>
              <w:top w:val="nil"/>
              <w:bottom w:val="nil"/>
            </w:tcBorders>
          </w:tcPr>
          <w:p>
            <w:pPr>
              <w:spacing w:before="40" w:after="40" w:line="240" w:lineRule="auto"/>
            </w:pPr>
            <w:r>
              <w:rPr>
                <w:sz w:val="16"/>
              </w:rPr>
              <w:t>Leading and lagging safety indicators</w:t>
            </w:r>
          </w:p>
        </w:tc>
        <w:tc>
          <w:tcPr>
            <w:tcW w:type="dxa" w:w="1440"/>
            <w:tcW w:type="dxa" w:w="2203"/>
            <w:tcBorders>
              <w:left w:val="nil"/>
              <w:right w:val="nil"/>
              <w:top w:val="nil"/>
              <w:bottom w:val="nil"/>
            </w:tcBorders>
          </w:tcPr>
          <w:p>
            <w:pPr>
              <w:spacing w:before="40" w:after="40" w:line="240" w:lineRule="auto"/>
            </w:pPr>
            <w:r>
              <w:rPr>
                <w:sz w:val="16"/>
              </w:rPr>
              <w:t>Evaluation mechanism and method [extended]</w:t>
            </w:r>
          </w:p>
        </w:tc>
        <w:tc>
          <w:tcPr>
            <w:tcW w:type="dxa" w:w="1440"/>
            <w:tcW w:type="dxa" w:w="3088"/>
            <w:tcBorders>
              <w:left w:val="nil"/>
              <w:right w:val="nil"/>
              <w:top w:val="nil"/>
              <w:bottom w:val="nil"/>
            </w:tcBorders>
          </w:tcPr>
          <w:p>
            <w:pPr>
              <w:spacing w:before="40" w:after="40" w:line="240" w:lineRule="auto"/>
            </w:pPr>
            <w:r>
              <w:rPr>
                <w:sz w:val="16"/>
              </w:rPr>
              <w:t>[extended] The framework’s post-transfer verification instrument. Lagging verification: IOGP Report 456 Tier 1 and Tier 2 process-safety event rates, which show harm only after risk has materialized. Leading verification (gives the framework teeth before failure): readiness-drill completion, well-control-contract status, safety-critical maintenance backlog, overdue integrity actions, suspended-well monitoring, management-of-change compliance, near-miss reporting quality, and audit-closeout rate</w:t>
            </w:r>
          </w:p>
        </w:tc>
        <w:tc>
          <w:tcPr>
            <w:tcW w:type="dxa" w:w="1440"/>
            <w:tcW w:type="dxa" w:w="2631"/>
            <w:tcBorders>
              <w:left w:val="nil"/>
              <w:right w:val="nil"/>
              <w:top w:val="nil"/>
              <w:bottom w:val="nil"/>
            </w:tcBorders>
          </w:tcPr>
          <w:p>
            <w:pPr>
              <w:spacing w:before="40" w:after="40" w:line="240" w:lineRule="auto"/>
            </w:pPr>
            <w:r>
              <w:rPr>
                <w:sz w:val="16"/>
              </w:rPr>
              <w:t>Proposed post-transfer verification; IOGP Report 456 for the lagging metric</w:t>
            </w:r>
          </w:p>
        </w:tc>
        <w:tc>
          <w:tcPr>
            <w:tcW w:type="dxa" w:w="1440"/>
            <w:tcW w:type="dxa" w:w="687"/>
            <w:tcBorders>
              <w:left w:val="nil"/>
              <w:right w:val="nil"/>
              <w:top w:val="nil"/>
              <w:bottom w:val="nil"/>
            </w:tcBorders>
          </w:tcPr>
          <w:p>
            <w:pPr>
              <w:spacing w:before="40" w:after="40" w:line="240" w:lineRule="auto"/>
            </w:pPr>
            <w:r>
              <w:rPr>
                <w:sz w:val="16"/>
              </w:rPr>
              <w:t>V2, V3</w:t>
            </w:r>
          </w:p>
        </w:tc>
      </w:tr>
      <w:tr>
        <w:tc>
          <w:tcPr>
            <w:tcW w:type="dxa" w:w="1440"/>
            <w:tcW w:type="dxa" w:w="1860"/>
            <w:tcBorders>
              <w:left w:val="nil"/>
              <w:right w:val="nil"/>
              <w:top w:val="nil"/>
              <w:bottom w:val="nil"/>
            </w:tcBorders>
          </w:tcPr>
          <w:p>
            <w:pPr>
              <w:spacing w:before="40" w:after="40" w:line="240" w:lineRule="auto"/>
            </w:pPr>
            <w:r>
              <w:rPr>
                <w:sz w:val="16"/>
              </w:rPr>
              <w:t>Auditing</w:t>
            </w:r>
          </w:p>
        </w:tc>
        <w:tc>
          <w:tcPr>
            <w:tcW w:type="dxa" w:w="1440"/>
            <w:tcW w:type="dxa" w:w="1771"/>
            <w:tcBorders>
              <w:left w:val="nil"/>
              <w:right w:val="nil"/>
              <w:top w:val="nil"/>
              <w:bottom w:val="nil"/>
            </w:tcBorders>
          </w:tcPr>
          <w:p>
            <w:pPr>
              <w:spacing w:before="40" w:after="40" w:line="240" w:lineRule="auto"/>
            </w:pPr>
            <w:r>
              <w:rPr>
                <w:sz w:val="16"/>
              </w:rPr>
              <w:t>Periodic checks that systems function as intended</w:t>
            </w:r>
          </w:p>
        </w:tc>
        <w:tc>
          <w:tcPr>
            <w:tcW w:type="dxa" w:w="1440"/>
            <w:tcW w:type="dxa" w:w="2203"/>
            <w:tcBorders>
              <w:left w:val="nil"/>
              <w:right w:val="nil"/>
              <w:top w:val="nil"/>
              <w:bottom w:val="nil"/>
            </w:tcBorders>
          </w:tcPr>
          <w:p>
            <w:pPr>
              <w:spacing w:before="40" w:after="40" w:line="240" w:lineRule="auto"/>
            </w:pPr>
            <w:r>
              <w:rPr>
                <w:sz w:val="16"/>
              </w:rPr>
              <w:t>Due diligence; Evaluation mechanism and method [extended]</w:t>
            </w:r>
          </w:p>
        </w:tc>
        <w:tc>
          <w:tcPr>
            <w:tcW w:type="dxa" w:w="1440"/>
            <w:tcW w:type="dxa" w:w="3088"/>
            <w:tcBorders>
              <w:left w:val="nil"/>
              <w:right w:val="nil"/>
              <w:top w:val="nil"/>
              <w:bottom w:val="nil"/>
            </w:tcBorders>
          </w:tcPr>
          <w:p>
            <w:pPr>
              <w:spacing w:before="40" w:after="40" w:line="240" w:lineRule="auto"/>
            </w:pPr>
            <w:r>
              <w:rPr>
                <w:sz w:val="16"/>
              </w:rPr>
              <w:t>[extended] The regulator-verification overlay rests here: Oriaku’s NPDC finding that table-top assessment passed firms that site inspection failed is the warning that audit must be demonstrated, not documentary</w:t>
            </w:r>
          </w:p>
        </w:tc>
        <w:tc>
          <w:tcPr>
            <w:tcW w:type="dxa" w:w="1440"/>
            <w:tcW w:type="dxa" w:w="2631"/>
            <w:tcBorders>
              <w:left w:val="nil"/>
              <w:right w:val="nil"/>
              <w:top w:val="nil"/>
              <w:bottom w:val="nil"/>
            </w:tcBorders>
          </w:tcPr>
          <w:p>
            <w:pPr>
              <w:spacing w:before="40" w:after="40" w:line="240" w:lineRule="auto"/>
            </w:pPr>
            <w:r>
              <w:rPr>
                <w:sz w:val="16"/>
              </w:rPr>
              <w:t>NUPRC Reg. 7(4) site visit; proposed periodic post-transfer audit</w:t>
            </w:r>
          </w:p>
        </w:tc>
        <w:tc>
          <w:tcPr>
            <w:tcW w:type="dxa" w:w="1440"/>
            <w:tcW w:type="dxa" w:w="687"/>
            <w:tcBorders>
              <w:left w:val="nil"/>
              <w:right w:val="nil"/>
              <w:top w:val="nil"/>
              <w:bottom w:val="nil"/>
            </w:tcBorders>
          </w:tcPr>
          <w:p>
            <w:pPr>
              <w:spacing w:before="40" w:after="40" w:line="240" w:lineRule="auto"/>
            </w:pPr>
            <w:r>
              <w:rPr>
                <w:sz w:val="16"/>
              </w:rPr>
              <w:t>V2, V3</w:t>
            </w:r>
          </w:p>
        </w:tc>
      </w:tr>
      <w:tr>
        <w:tc>
          <w:tcPr>
            <w:tcW w:type="dxa" w:w="1440"/>
            <w:tcW w:type="dxa" w:w="1860"/>
            <w:tcBorders>
              <w:left w:val="nil"/>
              <w:right w:val="nil"/>
              <w:top w:val="nil"/>
              <w:bottom w:val="single" w:sz="8" w:space="0" w:color="000000"/>
            </w:tcBorders>
          </w:tcPr>
          <w:p>
            <w:pPr>
              <w:spacing w:before="40" w:after="40" w:line="240" w:lineRule="auto"/>
            </w:pPr>
            <w:r>
              <w:rPr>
                <w:sz w:val="16"/>
              </w:rPr>
              <w:t>Management Review and Continuous Improvement</w:t>
            </w:r>
          </w:p>
        </w:tc>
        <w:tc>
          <w:tcPr>
            <w:tcW w:type="dxa" w:w="1440"/>
            <w:tcW w:type="dxa" w:w="1771"/>
            <w:tcBorders>
              <w:left w:val="nil"/>
              <w:right w:val="nil"/>
              <w:top w:val="nil"/>
              <w:bottom w:val="single" w:sz="8" w:space="0" w:color="000000"/>
            </w:tcBorders>
          </w:tcPr>
          <w:p>
            <w:pPr>
              <w:spacing w:before="40" w:after="40" w:line="240" w:lineRule="auto"/>
            </w:pPr>
            <w:r>
              <w:rPr>
                <w:sz w:val="16"/>
              </w:rPr>
              <w:t>Leadership review driving improvement</w:t>
            </w:r>
          </w:p>
        </w:tc>
        <w:tc>
          <w:tcPr>
            <w:tcW w:type="dxa" w:w="1440"/>
            <w:tcW w:type="dxa" w:w="2203"/>
            <w:tcBorders>
              <w:left w:val="nil"/>
              <w:right w:val="nil"/>
              <w:top w:val="nil"/>
              <w:bottom w:val="single" w:sz="8" w:space="0" w:color="000000"/>
            </w:tcBorders>
          </w:tcPr>
          <w:p>
            <w:pPr>
              <w:spacing w:before="40" w:after="40" w:line="240" w:lineRule="auto"/>
            </w:pPr>
            <w:r>
              <w:rPr>
                <w:sz w:val="16"/>
              </w:rPr>
              <w:t>Decision-making characteristics [extended]</w:t>
            </w:r>
          </w:p>
        </w:tc>
        <w:tc>
          <w:tcPr>
            <w:tcW w:type="dxa" w:w="1440"/>
            <w:tcW w:type="dxa" w:w="3088"/>
            <w:tcBorders>
              <w:left w:val="nil"/>
              <w:right w:val="nil"/>
              <w:top w:val="nil"/>
              <w:bottom w:val="single" w:sz="8" w:space="0" w:color="000000"/>
            </w:tcBorders>
          </w:tcPr>
          <w:p>
            <w:pPr>
              <w:spacing w:before="40" w:after="40" w:line="240" w:lineRule="auto"/>
            </w:pPr>
            <w:r>
              <w:rPr>
                <w:sz w:val="16"/>
              </w:rPr>
              <w:t>[extended] Inferred from the decision-rights and accountability differences between absorbed and de novo operators</w:t>
            </w:r>
          </w:p>
        </w:tc>
        <w:tc>
          <w:tcPr>
            <w:tcW w:type="dxa" w:w="1440"/>
            <w:tcW w:type="dxa" w:w="2631"/>
            <w:tcBorders>
              <w:left w:val="nil"/>
              <w:right w:val="nil"/>
              <w:top w:val="nil"/>
              <w:bottom w:val="single" w:sz="8" w:space="0" w:color="000000"/>
            </w:tcBorders>
          </w:tcPr>
          <w:p>
            <w:pPr>
              <w:spacing w:before="40" w:after="40" w:line="240" w:lineRule="auto"/>
            </w:pPr>
            <w:r>
              <w:rPr>
                <w:sz w:val="16"/>
              </w:rPr>
              <w:t>Proposed; condition-setting at consent under PIA Section 95 and NUPRC Reg. 7</w:t>
            </w:r>
          </w:p>
        </w:tc>
        <w:tc>
          <w:tcPr>
            <w:tcW w:type="dxa" w:w="1440"/>
            <w:tcW w:type="dxa" w:w="687"/>
            <w:tcBorders>
              <w:left w:val="nil"/>
              <w:right w:val="nil"/>
              <w:top w:val="nil"/>
              <w:bottom w:val="single" w:sz="8" w:space="0" w:color="000000"/>
            </w:tcBorders>
          </w:tcPr>
          <w:p>
            <w:pPr>
              <w:spacing w:before="40" w:after="40" w:line="240" w:lineRule="auto"/>
            </w:pPr>
            <w:r>
              <w:rPr>
                <w:sz w:val="16"/>
              </w:rPr>
              <w:t>V2, V6</w:t>
            </w:r>
          </w:p>
        </w:tc>
      </w:tr>
    </w:tbl>
    <w:p>
      <w:pPr>
        <w:sectPr>
          <w:pgSz w:w="15840" w:h="12240" w:orient="landscape"/>
          <w:pgMar w:top="1440" w:bottom="1440" w:left="1800" w:right="1800" w:header="720" w:footer="720" w:gutter="0"/>
        </w:sectPr>
      </w:pPr>
    </w:p>
    <w:bookmarkEnd w:id="26"/>
    <w:bookmarkStart w:id="27" w:name="reading-the-bridge-backward"/>
    <w:p>
      <w:pPr>
        <w:pStyle w:val="Heading2"/>
      </w:pPr>
      <w:r>
        <w:t xml:space="preserve">Reading the Bridge Backward</w:t>
      </w:r>
    </w:p>
    <w:p>
      <w:pPr>
        <w:pStyle w:val="FirstParagraph"/>
      </w:pPr>
      <w:r>
        <w:t xml:space="preserve">Two structural facts in the tables above drive Section 5.4. First,</w:t>
      </w:r>
      <w:r>
        <w:t xml:space="preserve"> </w:t>
      </w:r>
      <w:r>
        <w:rPr>
          <w:bCs/>
          <w:b/>
        </w:rPr>
        <w:t xml:space="preserve">Process Knowledge Management is the convergence point</w:t>
      </w:r>
      <w:r>
        <w:t xml:space="preserve">: seven IKT elements feed it, so a single failure mode, losing the people and data that hold process knowledge, propagates into the hub of the capability system. This is the mechanism behind the Chapter 4 contrast, absorbed operators (Seplat, HEOSL with Salvic) retained the carriers; the de novo acquirer did not. Second,</w:t>
      </w:r>
      <w:r>
        <w:t xml:space="preserve"> </w:t>
      </w:r>
      <w:r>
        <w:rPr>
          <w:bCs/>
          <w:b/>
        </w:rPr>
        <w:t xml:space="preserve">contractual characteristics is the broadest lever</w:t>
      </w:r>
      <w:r>
        <w:t xml:space="preserve">: it touches six coded RBPS elements across three pillars (a seventh extended), including Emergency Management, the element whose failure produced the Aiteo blowout. Because the contract is both the highest-leverage instrument and a seller-and-transfer-structure obligation the buyer cannot remedy alone, the framework’s central prescription is to specify what the assignment and transfer agreement must contain, rather than to rely on buyer effort after close.</w:t>
      </w:r>
    </w:p>
    <w:p>
      <w:pPr>
        <w:pStyle w:val="BodyText"/>
      </w:pPr>
      <w:r>
        <w:t xml:space="preserve">A third point governs verification. The post-transfer indicators in the Measurement and Metrics row split into two kinds. Tier 1 and Tier 2 process-safety event rates are</w:t>
      </w:r>
      <w:r>
        <w:t xml:space="preserve"> </w:t>
      </w:r>
      <w:r>
        <w:rPr>
          <w:bCs/>
          <w:b/>
        </w:rPr>
        <w:t xml:space="preserve">lagging</w:t>
      </w:r>
      <w:r>
        <w:t xml:space="preserve">: they confirm capability only after an incident. The leading indicators in that row let the regulator verify readiness before harm occurs. The framework relies on both, so that verification has effect before failure and not only after it.</w:t>
      </w:r>
    </w:p>
    <w:bookmarkEnd w:id="27"/>
    <w:bookmarkEnd w:id="2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2026-06-22T17:23:18Z</dcterms:created>
  <dcterms:modified xsi:type="dcterms:W3CDTF">2026-06-22T17:23:18Z</dcterms:modified>
</cp:coreProperties>
</file>

<file path=docProps/custom.xml><?xml version="1.0" encoding="utf-8"?>
<Properties xmlns="http://schemas.openxmlformats.org/officeDocument/2006/custom-properties" xmlns:vt="http://schemas.openxmlformats.org/officeDocument/2006/docPropsVTypes"/>
</file>