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3"/>
    <w:p>
      <w:pPr>
        <w:pStyle w:val="Heading1"/>
      </w:pPr>
      <w:r>
        <w:t xml:space="preserve">Chapter 3</w:t>
      </w:r>
    </w:p>
    <w:bookmarkEnd w:id="20"/>
    <w:bookmarkStart w:id="27" w:name="research-methodology"/>
    <w:p>
      <w:pPr>
        <w:pStyle w:val="Heading1"/>
      </w:pPr>
      <w:r>
        <w:t xml:space="preserve">Research Methodology</w:t>
      </w:r>
    </w:p>
    <w:bookmarkStart w:id="21" w:name="research-design"/>
    <w:p>
      <w:pPr>
        <w:pStyle w:val="Heading2"/>
      </w:pPr>
      <w:r>
        <w:t xml:space="preserve">3.1 Research Design</w:t>
      </w:r>
    </w:p>
    <w:p>
      <w:pPr>
        <w:pStyle w:val="FirstParagraph"/>
      </w:pPr>
      <w:r>
        <w:t xml:space="preserve">The discrimination apparatus constructed in the preceding chapter comprises five competing root-cause explanations for differentiated post-divestment outcomes and two cross-cutting conditions, with coordination failure examined as an observable feature of all unsuccessful cases. Each explanation carries testable predictions, observable evidence patterns, and falsification conditions. What follows specifies how the apparatus is applied to evidence: the research design, case selection, evidence architecture, analytical procedures, interview protocol, and safeguards.</w:t>
      </w:r>
    </w:p>
    <w:p>
      <w:pPr>
        <w:pStyle w:val="BodyText"/>
      </w:pPr>
      <w:r>
        <w:t xml:space="preserve">This study adopts a theory-testing design. The five competing explanations were derived from existing literature before any evidence was collected. The analytical categories, the decision rules, and the conditions under which each explanation is confirmed, rejected, or left unresolved were all specified before the evidence was examined. This prior specification distinguishes the approach from conventional qualitative case research, where analytical categories often emerge from the data. The discrimination apparatus predetermines what the researcher must look for and how the evidence will be evaluated.</w:t>
      </w:r>
    </w:p>
    <w:p>
      <w:pPr>
        <w:pStyle w:val="BodyText"/>
      </w:pPr>
      <w:r>
        <w:t xml:space="preserve">The specific design is a critical experiment with cross-case validation. A critical experiment investigates the specific details on which competing theories generate divergent predictions, so that the evidence can decide between them regardless of which theory turns out to be correct. Field and de Neufville (2021) describe this design as</w:t>
      </w:r>
      <w:r>
        <w:t xml:space="preserve"> </w:t>
      </w:r>
      <w:r>
        <w:t xml:space="preserve">“</w:t>
      </w:r>
      <w:r>
        <w:t xml:space="preserve">particularly effective</w:t>
      </w:r>
      <w:r>
        <w:t xml:space="preserve">”</w:t>
      </w:r>
      <w:r>
        <w:t xml:space="preserve"> </w:t>
      </w:r>
      <w:r>
        <w:t xml:space="preserve">and</w:t>
      </w:r>
      <w:r>
        <w:t xml:space="preserve"> </w:t>
      </w:r>
      <w:r>
        <w:t xml:space="preserve">“</w:t>
      </w:r>
      <w:r>
        <w:t xml:space="preserve">especially desirable</w:t>
      </w:r>
      <w:r>
        <w:t xml:space="preserve">”</w:t>
      </w:r>
      <w:r>
        <w:t xml:space="preserve"> </w:t>
      </w:r>
      <w:r>
        <w:t xml:space="preserve">for thesis research because it produces a valid result regardless of which explanation the evidence supports. A case qualifies as a critical experiment when competing explanations generate predictions that point in opposite directions for the same observable outcome, and the case contains evidence that can distinguish between those predictions.</w:t>
      </w:r>
    </w:p>
    <w:p>
      <w:pPr>
        <w:pStyle w:val="BodyText"/>
      </w:pPr>
      <w:r>
        <w:t xml:space="preserve">The critical experiment tests the pattern for one case. Cross-case validation tests whether the pattern holds across operators or reflects idiosyncratic circumstances. The validation follows Yin’s (2009) replication logic: each additional case is selected because it tests a specific theoretical proposition, not because it represents a population. Literal replications test whether the pattern recurs in other operators under similar conditions. Theoretical replications test whether operators who differ on the dimension of interest (knowledge inheritance) produce different outcomes under comparable external conditions.</w:t>
      </w:r>
    </w:p>
    <w:p>
      <w:pPr>
        <w:pStyle w:val="BodyText"/>
      </w:pPr>
      <w:r>
        <w:t xml:space="preserve">The analytical method is documentary process tracing with cross-case comparison. Process tracing reconstructs the causal chain connecting conditions to outcomes by examining the observable implications of competing explanations at each step in the sequence (Beach and Pedersen, 2013). Documentary process tracing can establish observable event sequences, pattern consistency, temporal ordering, and convergence of independent indicators. It cannot directly observe internal organizational decision-making or subjective motivations.</w:t>
      </w:r>
    </w:p>
    <w:p>
      <w:pPr>
        <w:pStyle w:val="BodyText"/>
      </w:pPr>
      <w:r>
        <w:t xml:space="preserve">Applying process tracing with documents alone is a constrained application of the method, defensible when the relevant causal mechanisms leave observable documentary traces, as they do in this context (production data, spill records, regulatory filings, court documents, corporate disclosures). Yin (2009) identifies documents and archival records as core sources of evidence in case study research, and documentary sources constitute the primary evidence base here.</w:t>
      </w:r>
    </w:p>
    <w:p>
      <w:pPr>
        <w:pStyle w:val="BodyText"/>
      </w:pPr>
      <w:r>
        <w:t xml:space="preserve">Within this framework, three types of tests apply, illustrated in Table 3.1 below. Hoop tests establish necessary conditions: if the evidence fails the test, the explanation is eliminated. Smoking-gun tests establish sufficient conditions: if the evidence passes, the explanation is strongly confirmed. Straw-in-the-wind tests provide suggestive but not conclusive evidence (Beach and Pedersen, 2013). Each falsification condition from the theoretical framework is mapped to a specific test type in Section 3.4.</w:t>
      </w:r>
    </w:p>
    <w:p>
      <w:pPr>
        <w:pStyle w:val="BodyText"/>
      </w:pPr>
      <w:r>
        <w:t xml:space="preserve">The unit of analysis is the divestment transaction, not the individual participant. The transaction is treated as the transfer of a sociotechnical system, in which the licensed hardware and the operating organization that runs it form one working whole, so the question is twofold. It asks whether the assets changed hands, and whether the capability embedded in that operating organization transferred with them (Section 2.2). Data are collected from multiple sources (documentary evidence and, where obtainable, participant testimony through semi-structured interviews or structured surveys), but conclusions are drawn about organizational-level phenomena. These are whether operational capability transferred, whether the acquiring organization could perform specific functions, and whether the institutional design of the transaction permitted or prevented knowledge transfer.</w:t>
      </w:r>
    </w:p>
    <w:p>
      <w:pPr>
        <w:pStyle w:val="BodyText"/>
      </w:pPr>
      <w:r>
        <w:t xml:space="preserve">The decision sequence produces, for each explanation on the primary case, one of the five verdicts defined in Section 2.6: most consistent with the evidence, consistent but not decisive, insufficient on its own, rejected as sufficient, or rejected for specific cases. Where the evidence cannot separate two surviving explanations, the result is recorded as insufficient evidence to discriminate. The cross-case validation then tests whether the pattern holds across operators.</w:t>
      </w:r>
    </w:p>
    <w:bookmarkEnd w:id="21"/>
    <w:bookmarkStart w:id="22" w:name="case-selection-and-justification"/>
    <w:p>
      <w:pPr>
        <w:pStyle w:val="Heading2"/>
      </w:pPr>
      <w:r>
        <w:t xml:space="preserve">3.2 Case Selection and Justification</w:t>
      </w:r>
    </w:p>
    <w:p>
      <w:pPr>
        <w:pStyle w:val="FirstParagraph"/>
      </w:pPr>
      <w:r>
        <w:t xml:space="preserve">Cases are selected for their analytical discriminating power between competing explanations. Field and de Neufville (2021) emphasize that case selection should follow the logic of the thesis rather than convenience or familiarity. Each is justified below by the specific theoretical proposition it tests and what it cannot test.</w:t>
      </w:r>
    </w:p>
    <w:p>
      <w:pPr>
        <w:pStyle w:val="BodyText"/>
      </w:pPr>
      <w:r>
        <w:t xml:space="preserve">Aiteo (OML 29) is the critical experiment. It acquired the asset from Shell in 2015. Its trajectory, which includes both sustained production growth and a prolonged crisis failure, creates conditions under which the five explanations generate distinguishable predictions. Capital constraints predict progressive degradation across all operational domains. Capability-related factors predict selective failure in knowledge-intensive domains while routine operations succeed. These predictions point in opposite directions for an operator that funds sustained production growth while also experiencing a crisis-response failure. The critical experiment can potentially confirm or reject four of the five explanations (capital constraints, regulatory inadequacy, political economy, and capability-related factors). Fiscal regime effects are tested separately through temporal falsification, as the Aiteo transaction predates the PIA by six years.</w:t>
      </w:r>
    </w:p>
    <w:p>
      <w:pPr>
        <w:pStyle w:val="BodyText"/>
      </w:pPr>
      <w:r>
        <w:t xml:space="preserve">Cross-case validation extends the critical experiment through replication logic. Eroton (OML 18) provides a literal replication: an operator whose JV funding was maintained throughout a period of operational decline, testing whether financial resources alone account for the outcome. Eroton cannot independently test fiscal regime effects because its fiscal and operational timelines overlap. First Hydrocarbon (OML 26, through Afren) adds an additional dimension to the literal replication: an operator with substantial financial resources whose trajectory was interrupted by executive fraud, testing the regulatory screening process. For First Hydrocarbon, the fraud conviction confounds any assessment of post-divestment operational capability.</w:t>
      </w:r>
    </w:p>
    <w:p>
      <w:pPr>
        <w:pStyle w:val="BodyText"/>
      </w:pPr>
      <w:r>
        <w:t xml:space="preserve">Three theoretical replications test whether different conditions on the dimension of interest produce different outcomes. Seplat (OMLs 4, 38, 41) provides the primary theoretical replication: an operator whose founding team included former IOC executives with decades of Nigerian upstream experience, testing whether prior knowledge inheritance produces a different outcome under the same external conditions. Pre-divestment deterioration from the seller side is not testable through Seplat because the seller dynamics differed from those in the failure cases. Shoreline and HEOSL (OML 30) constitute a within-OML natural experiment, where the same asset was operated under different operators under the same regulatory and fiscal terms, isolating operator-level factors. In the terms of the sociotechnical frame (Section 2.2), it decomposes the asset: the technical subsystem and the external regime are held fixed while the social subsystem that operates the asset varies. Any difference in outcome is therefore attributable to the operating organization rather than to the hardware or the regime. For Shoreline/HEOSL, initial acquisition conditions fall outside this comparison because operatorship was transferred between indigenous operators, not acquired directly from the IOC. NPDC (multiple OMLs) extends the analysis beyond commercial acquirers to a government entity with political connections but limited operational capability. NPDC cannot test commercial viability dynamics in the same way as commercial operators because its funding structure and institutional mandate differ in kind. Data availability for NPDC is more limited than for commercial operators (NPDC does not produce corporate-style disclosures), but safety incident records, NEITI audit reports, and technical-efficiency studies cover the variables examined here.</w:t>
      </w:r>
    </w:p>
    <w:p>
      <w:pPr>
        <w:pStyle w:val="BodyText"/>
      </w:pPr>
      <w:r>
        <w:t xml:space="preserve">Together, these cases cover both operational success and failure, span three operator types (indigenous commercial, international with local partnership, government entity), and include two distinct institutional transfer mechanisms (bilateral IOC sale and government licensing). This coverage is sufficient to address RQ1 and RQ2 because the cases vary on the dimension of interest (knowledge inheritance) while sharing the same regulatory environment, asset type, and broad time period.</w:t>
      </w:r>
    </w:p>
    <w:p>
      <w:pPr>
        <w:pStyle w:val="BodyText"/>
      </w:pPr>
      <w:r>
        <w:t xml:space="preserve">The primary cases share a feature that bears on the inference: each acquired its assets from Shell. The Aiteo, Eroton, First Hydrocarbon, Seplat, and Shoreline transactions, along with the NPDC equity holdings, all derive from the SPDC divestment program. If the patterns identified across these cases reflected Shell’s divestment practices rather than the structural condition under examination, they should not recur when the seller is a different international operator. Three non-Shell transactions test this. Oando’s 2014 acquisition of ConocoPhillips’ Nigerian interest introduces a different seller, but as a non-operating stake in an Eni-operated joint venture it tests governance and seller identity, not operational capability. Oando’s subsequent acquisition of Eni’s Nigerian Agip Oil Company, processed under the seven-pillar divestment framework that the NUPRC introduced in 2024, tests whether the capability assessment criteria established after the primary transactions are applied to a non-Shell transfer. Seplat’s 2024 acquisition of ExxonMobil’s Mobil Producing Nigeria tests absorptive capacity from the buyer side: an operator with demonstrated upstream capability integrating assets from a different international seller, with early indicators available rather than a multi-year operational record. None of the three carries the six-to-fifteen-year post-transfer history of the primary cases, and two close too recently for medium-term outcome assessment. They therefore enter the cross-case synthesis as seller-independence checks, not as cases analyzed through the full decision sequence.</w:t>
      </w:r>
    </w:p>
    <w:p>
      <w:pPr>
        <w:pStyle w:val="BodyText"/>
      </w:pPr>
      <w:r>
        <w:t xml:space="preserve">The marginal field program (2003 to 2020) serves as a structural precedent. It allocated petroleum assets to indigenous operators through government licensing rather than bilateral IOC sale, but under the same structural condition: asset transfer without mandatory capability assessment. If a comparable failure pattern appears under a different transfer mechanism, the pattern is more likely institutional than idiosyncratic to any single transaction type.</w:t>
      </w:r>
    </w:p>
    <w:p>
      <w:pPr>
        <w:pStyle w:val="BodyText"/>
      </w:pPr>
      <w:r>
        <w:t xml:space="preserve">The Renaissance transaction (2024) serves as a design contrast, not a formal case analyzed through the full decision sequence. It demonstrates what a capability-preserving transaction design looks like in practice, providing a natural contrast with earlier transactions where no such structure existed. At the time of writing, only a short period of post-completion operating data is available, insufficient to assess medium-term operational quality, particularly asset integrity and maintenance outcomes that manifest over three-to-five year cycles. Renaissance is therefore not weighted equally with the primary cases, which have six to fifteen years of post-transfer history. Its early indicators are examined as a real-world instance of the framework design proposed in the following chapters.</w:t>
      </w:r>
    </w:p>
    <w:bookmarkEnd w:id="22"/>
    <w:bookmarkStart w:id="23" w:name="evidence-architecture"/>
    <w:p>
      <w:pPr>
        <w:pStyle w:val="Heading2"/>
      </w:pPr>
      <w:r>
        <w:t xml:space="preserve">3.3 Evidence Architecture</w:t>
      </w:r>
    </w:p>
    <w:p>
      <w:pPr>
        <w:pStyle w:val="FirstParagraph"/>
      </w:pPr>
      <w:r>
        <w:t xml:space="preserve">The evidence base consists of two tiers. Tier 1 comprises observable outcomes, documentary records, regulatory framework texts, corporate disclosures, court filings, production data, spill records, and independently compiled datasets. The core evaluative conclusions rest on Tier 1 evidence. Tier 2 comprises participant testimony from industry professionals across three groups (sellers, buyers and regulators), collected through semi-structured interviews or structured surveys where obtainable. Tier 2 evidence deepens the analysis of mechanisms not fully observable from documentary sources.</w:t>
      </w:r>
    </w:p>
    <w:p>
      <w:pPr>
        <w:pStyle w:val="BodyText"/>
      </w:pPr>
      <w:r>
        <w:t xml:space="preserve">The research questions are evaluable at the pattern level from documentary evidence alone. Observable outcomes (production, spills, safety incidents) are publicly recorded and sufficient for testing whether the predictions of each explanation match the evidence.</w:t>
      </w:r>
    </w:p>
    <w:p>
      <w:pPr>
        <w:pStyle w:val="BodyText"/>
      </w:pPr>
      <w:r>
        <w:t xml:space="preserve">Interviews and surveys add precision where they are available. Specific verdicts can be upgraded from</w:t>
      </w:r>
      <w:r>
        <w:t xml:space="preserve"> </w:t>
      </w:r>
      <w:r>
        <w:t xml:space="preserve">“</w:t>
      </w:r>
      <w:r>
        <w:t xml:space="preserve">consistent with the evidence</w:t>
      </w:r>
      <w:r>
        <w:t xml:space="preserve">”</w:t>
      </w:r>
      <w:r>
        <w:t xml:space="preserve"> </w:t>
      </w:r>
      <w:r>
        <w:t xml:space="preserve">to</w:t>
      </w:r>
      <w:r>
        <w:t xml:space="preserve"> </w:t>
      </w:r>
      <w:r>
        <w:t xml:space="preserve">“</w:t>
      </w:r>
      <w:r>
        <w:t xml:space="preserve">supported by converging testimony and documentary evidence,</w:t>
      </w:r>
      <w:r>
        <w:t xml:space="preserve">”</w:t>
      </w:r>
      <w:r>
        <w:t xml:space="preserve"> </w:t>
      </w:r>
      <w:r>
        <w:t xml:space="preserve">and the mechanisms through which the most consistent explanation operated can be specified more precisely. The specific analytical cost of proceeding without interviews is that the discrimination between coordination failure as independently caused and coordination failure as structurally produced cannot always be closed from documents alone. Documentary evidence can narrow the range of plausible interpretations on the coordination question, but it cannot fully observe the internal organizational conditions that would resolve the distinction in every case.</w:t>
      </w:r>
    </w:p>
    <w:p>
      <w:pPr>
        <w:pStyle w:val="BodyText"/>
      </w:pPr>
      <w:r>
        <w:t xml:space="preserve">Where this ambiguity persists, the empirical analysis reports it directly, specifying what additional evidence would resolve the question. This transparency allows readers to assess the strength of the verdict for themselves.</w:t>
      </w:r>
    </w:p>
    <w:p>
      <w:pPr>
        <w:pStyle w:val="BodyText"/>
      </w:pPr>
      <w:r>
        <w:t xml:space="preserve">Sources are classified into two quality tiers. Tier A sources anchor all key inferences: peer-reviewed academic publications, government and regulatory primary documents, court and litigation records, audited corporate filings, and official statistical databases. In the context of this thesis, Tier A sources include NOSDRA spill records, NEITI audit reports, the Petroleum Act, the PIA, NUPRC regulatory frameworks, DPR/NUPRC production data, ICC arbitration filings, and UK Serious Fraud Office records. Tier B sources provide context, triangulation, and case reconstruction: professional legal analyses, established NGO reports (SDN, HOMEF), recognized institutional think tanks (Brookings, NRGI), and mainstream industry press (Bloomberg, Energy Voice, World Oil). Case narrative detail sometimes relies mainly on Tier B sources, but the pattern-level variables on which verdicts depend (production volumes, spill frequencies, flare intensity, financing structure, legal framework texts) are anchored in Tier A. When only Tier B sources exist for a factual claim, this is disclosed. Sources that are unattributed opinion pieces, unreviewed student essays, or blog posts without original reporting are excluded.</w:t>
      </w:r>
    </w:p>
    <w:p>
      <w:pPr>
        <w:pStyle w:val="BodyText"/>
      </w:pPr>
      <w:r>
        <w:t xml:space="preserve">All documentary evidence carries bias. Corporate filings present favorable interpretations to shareholders, government statements may reflect institutional interests rather than operational reality, and NGO reports may carry advocacy framing. These biases are addressed through triangulation across source types. A claim about Aiteo’s production trajectory, for example, is checked across corporate disclosures (Aiteo statements), regulatory data (DPR/NUPRC production records), and independent reporting (Bloomberg, Energy Voice, World Oil). Convergence across source types increases confidence. Divergence is reported as ambiguity, with weight reflecting each source’s independence from the transacting parties.</w:t>
      </w:r>
    </w:p>
    <w:p>
      <w:pPr>
        <w:pStyle w:val="BodyText"/>
      </w:pPr>
      <w:r>
        <w:t xml:space="preserve">Production figures specifically come from three series that carry different measurement bases, serve different purposes, and are reported separately, not spliced into a single trajectory. The Wood Mackenzie modeled series reports sales volumes after estimated crude theft, which it notes can reach 40 percent for some onshore fields, and on that consistent post-theft basis it carries the operator-to-operator trajectory comparison. The NEITI audited metered figure, measured at the flow station before theft and metering losses, anchors annual verification. The NEITI fiscalized figure, the volume reconciled for royalty and tax after deductions and adjustments, supports the revenue-impact estimates. The modeled sales figure and the audited fiscalized figure share a post-theft basis and are the comparable pair, with the metered figure higher by the losses. Where the series diverge, the audited figure governs.</w:t>
      </w:r>
    </w:p>
    <w:p>
      <w:pPr>
        <w:pStyle w:val="BodyText"/>
      </w:pPr>
      <w:r>
        <w:t xml:space="preserve">Where interviews or surveys are obtained and the testimony contradicts documentary evidence on quantifiable events, the documentary evidence takes precedence. Interviews may reveal alternative interpretations of events, contextual factors not captured in documents, or organizational dynamics that documents do not record, but they do not override audited numbers, official production data, or court-filed claims.</w:t>
      </w:r>
    </w:p>
    <w:bookmarkEnd w:id="23"/>
    <w:bookmarkStart w:id="24" w:name="analytical-framework"/>
    <w:p>
      <w:pPr>
        <w:pStyle w:val="Heading2"/>
      </w:pPr>
      <w:r>
        <w:t xml:space="preserve">3.4 Analytical Framework</w:t>
      </w:r>
    </w:p>
    <w:p>
      <w:pPr>
        <w:pStyle w:val="FirstParagraph"/>
      </w:pPr>
      <w:r>
        <w:t xml:space="preserve">The empirical analysis applies the discrimination apparatus through a decision sequence mapped to the three research questions. The sequence describes how the results are organized. In practice, evidence for multiple explanations is examined concurrently; the decision sequence provides the inferential structure, not a procedural checklist.</w:t>
      </w:r>
    </w:p>
    <w:p>
      <w:pPr>
        <w:pStyle w:val="BodyText"/>
      </w:pPr>
      <w:r>
        <w:t xml:space="preserve">The sequence proceeds through six operations. Establishing the outcome differentiation comes first: confirming that the dependent variable (differentiated operational outcomes across acquiring operators) exists and is documented precisely enough that the pattern is not disputed. This addresses RQ1’s descriptive component. Testing temporal and structural preconditions follows, determining which explanations are even applicable to each case (fiscal regime effects are excluded for pre-PIA transactions on temporal grounds; regulatory design failure applies uniformly). The falsification conditions specified in the theoretical framework are then applied: does the evidence contain any pattern that decisively rejects an explanation for a given case? Rejected explanations are set aside with the evidence stated. These three operations collectively answer RQ1 by identifying which explanations survive initial scrutiny.</w:t>
      </w:r>
    </w:p>
    <w:p>
      <w:pPr>
        <w:pStyle w:val="BodyText"/>
      </w:pPr>
      <w:r>
        <w:t xml:space="preserve">For surviving explanations, the weight of evidence is assessed: does the evidence pattern strongly support, suggestively support, or leave the explanation unresolved? Where two or more survive, the discrimination logic is applied to determine which explanation carries the most weight. Where the evidence does not permit discrimination, the analysis reports the ambiguity and specifies what additional evidence would resolve it. These operations collectively answer RQ2. A final operation assesses the substitutability question and the externality condition, providing the empirical and economic foundation for RQ3.</w:t>
      </w:r>
    </w:p>
    <w:p>
      <w:pPr>
        <w:pStyle w:val="BodyText"/>
      </w:pPr>
      <w:r>
        <w:t xml:space="preserve">Table 3.1 consolidates the discrimination logic for the competing explanations, mapping each explanation’s decisive falsification to a process tracing test type and its evidence base; the binding constraint and key prediction for each are given in Chapter 2 (Table 2.2). Coordination failure appears as a final row, assessed for independent causal status rather than treated as a primary explanation.</w:t>
      </w:r>
    </w:p>
    <w:p>
      <w:pPr>
        <w:pStyle w:val="BodyText"/>
      </w:pPr>
      <w:r>
        <w:rPr>
          <w:bCs/>
          <w:b/>
        </w:rPr>
        <w:t xml:space="preserve">Table 3.1. The decisive falsification condition for each competing explanation and the test that applies it, the logic by which the cases tell the explanations apart. The full matrix, with operationalization and source-level detail, is in Appendix B.</w:t>
      </w:r>
    </w:p>
    <w:tbl>
      <w:tblPr>
        <w:tblW w:type="auto" w:w="0"/>
        <w:tblLook w:firstColumn="1" w:firstRow="1" w:lastColumn="0" w:lastRow="0" w:noHBand="0" w:noVBand="1" w:val="04A0"/>
        <w:tblLayout w:type="fixed"/>
        <w:tblW w:type="dxa" w:w="8640"/>
      </w:tblPr>
      <w:tblGrid>
        <w:gridCol w:w="1967"/>
        <w:gridCol w:w="2572"/>
        <w:gridCol w:w="2068"/>
        <w:gridCol w:w="2033"/>
      </w:tblGrid>
      <w:tr>
        <w:tc>
          <w:tcPr>
            <w:tcW w:type="dxa" w:w="2160"/>
            <w:tcW w:type="dxa" w:w="1967"/>
            <w:tcBorders>
              <w:left w:val="nil"/>
              <w:right w:val="nil"/>
              <w:top w:val="single" w:sz="8" w:space="0" w:color="000000"/>
              <w:bottom w:val="single" w:sz="4" w:space="0" w:color="000000"/>
            </w:tcBorders>
          </w:tcPr>
          <w:p>
            <w:pPr>
              <w:spacing w:before="40" w:after="40" w:line="240" w:lineRule="auto"/>
            </w:pPr>
            <w:r>
              <w:rPr>
                <w:b/>
                <w:sz w:val="18"/>
              </w:rPr>
              <w:t>Explanation</w:t>
            </w:r>
          </w:p>
        </w:tc>
        <w:tc>
          <w:tcPr>
            <w:tcW w:type="dxa" w:w="2160"/>
            <w:tcW w:type="dxa" w:w="2572"/>
            <w:tcBorders>
              <w:left w:val="nil"/>
              <w:right w:val="nil"/>
              <w:top w:val="single" w:sz="8" w:space="0" w:color="000000"/>
              <w:bottom w:val="single" w:sz="4" w:space="0" w:color="000000"/>
            </w:tcBorders>
          </w:tcPr>
          <w:p>
            <w:pPr>
              <w:spacing w:before="40" w:after="40" w:line="240" w:lineRule="auto"/>
            </w:pPr>
            <w:r>
              <w:rPr>
                <w:b/>
                <w:sz w:val="18"/>
              </w:rPr>
              <w:t>Decisive Falsification</w:t>
            </w:r>
          </w:p>
        </w:tc>
        <w:tc>
          <w:tcPr>
            <w:tcW w:type="dxa" w:w="2160"/>
            <w:tcW w:type="dxa" w:w="2068"/>
            <w:tcBorders>
              <w:left w:val="nil"/>
              <w:right w:val="nil"/>
              <w:top w:val="single" w:sz="8" w:space="0" w:color="000000"/>
              <w:bottom w:val="single" w:sz="4" w:space="0" w:color="000000"/>
            </w:tcBorders>
          </w:tcPr>
          <w:p>
            <w:pPr>
              <w:spacing w:before="40" w:after="40" w:line="240" w:lineRule="auto"/>
            </w:pPr>
            <w:r>
              <w:rPr>
                <w:b/>
                <w:sz w:val="18"/>
              </w:rPr>
              <w:t>Test Type</w:t>
            </w:r>
          </w:p>
        </w:tc>
        <w:tc>
          <w:tcPr>
            <w:tcW w:type="dxa" w:w="2160"/>
            <w:tcW w:type="dxa" w:w="2033"/>
            <w:tcBorders>
              <w:left w:val="nil"/>
              <w:right w:val="nil"/>
              <w:top w:val="single" w:sz="8" w:space="0" w:color="000000"/>
              <w:bottom w:val="single" w:sz="4" w:space="0" w:color="000000"/>
            </w:tcBorders>
          </w:tcPr>
          <w:p>
            <w:pPr>
              <w:spacing w:before="40" w:after="40" w:line="240" w:lineRule="auto"/>
            </w:pPr>
            <w:r>
              <w:rPr>
                <w:b/>
                <w:sz w:val="18"/>
              </w:rPr>
              <w:t>Principal Data Sources</w:t>
            </w:r>
          </w:p>
        </w:tc>
      </w:tr>
      <w:tr>
        <w:tc>
          <w:tcPr>
            <w:tcW w:type="dxa" w:w="2160"/>
            <w:tcW w:type="dxa" w:w="1967"/>
            <w:tcBorders>
              <w:left w:val="nil"/>
              <w:right w:val="nil"/>
              <w:top w:val="nil"/>
              <w:bottom w:val="nil"/>
            </w:tcBorders>
          </w:tcPr>
          <w:p>
            <w:pPr>
              <w:spacing w:before="40" w:after="40" w:line="240" w:lineRule="auto"/>
            </w:pPr>
            <w:r>
              <w:rPr>
                <w:sz w:val="18"/>
              </w:rPr>
              <w:t>Capital constraints</w:t>
            </w:r>
          </w:p>
        </w:tc>
        <w:tc>
          <w:tcPr>
            <w:tcW w:type="dxa" w:w="2160"/>
            <w:tcW w:type="dxa" w:w="2572"/>
            <w:tcBorders>
              <w:left w:val="nil"/>
              <w:right w:val="nil"/>
              <w:top w:val="nil"/>
              <w:bottom w:val="nil"/>
            </w:tcBorders>
          </w:tcPr>
          <w:p>
            <w:pPr>
              <w:spacing w:before="40" w:after="40" w:line="240" w:lineRule="auto"/>
            </w:pPr>
            <w:r>
              <w:rPr>
                <w:sz w:val="18"/>
              </w:rPr>
              <w:t>Funded production growth with crisis failure in the same operator</w:t>
            </w:r>
          </w:p>
        </w:tc>
        <w:tc>
          <w:tcPr>
            <w:tcW w:type="dxa" w:w="2160"/>
            <w:tcW w:type="dxa" w:w="2068"/>
            <w:tcBorders>
              <w:left w:val="nil"/>
              <w:right w:val="nil"/>
              <w:top w:val="nil"/>
              <w:bottom w:val="nil"/>
            </w:tcBorders>
          </w:tcPr>
          <w:p>
            <w:pPr>
              <w:spacing w:before="40" w:after="40" w:line="240" w:lineRule="auto"/>
            </w:pPr>
            <w:r>
              <w:rPr>
                <w:sz w:val="18"/>
              </w:rPr>
              <w:t>Smoking-gun for capability</w:t>
            </w:r>
          </w:p>
        </w:tc>
        <w:tc>
          <w:tcPr>
            <w:tcW w:type="dxa" w:w="2160"/>
            <w:tcW w:type="dxa" w:w="2033"/>
            <w:tcBorders>
              <w:left w:val="nil"/>
              <w:right w:val="nil"/>
              <w:top w:val="nil"/>
              <w:bottom w:val="nil"/>
            </w:tcBorders>
          </w:tcPr>
          <w:p>
            <w:pPr>
              <w:spacing w:before="40" w:after="40" w:line="240" w:lineRule="auto"/>
            </w:pPr>
            <w:r>
              <w:rPr>
                <w:sz w:val="18"/>
              </w:rPr>
              <w:t>Financing records (ICC, Bloomberg); production data (DPR, NUPRC, NEITI); JV audit (NNPC)</w:t>
            </w:r>
          </w:p>
        </w:tc>
      </w:tr>
      <w:tr>
        <w:tc>
          <w:tcPr>
            <w:tcW w:type="dxa" w:w="2160"/>
            <w:tcW w:type="dxa" w:w="1967"/>
            <w:tcBorders>
              <w:left w:val="nil"/>
              <w:right w:val="nil"/>
              <w:top w:val="nil"/>
              <w:bottom w:val="nil"/>
            </w:tcBorders>
          </w:tcPr>
          <w:p>
            <w:pPr>
              <w:spacing w:before="40" w:after="40" w:line="240" w:lineRule="auto"/>
            </w:pPr>
            <w:r>
              <w:rPr>
                <w:sz w:val="18"/>
              </w:rPr>
              <w:t>Fiscal regime</w:t>
            </w:r>
          </w:p>
        </w:tc>
        <w:tc>
          <w:tcPr>
            <w:tcW w:type="dxa" w:w="2160"/>
            <w:tcW w:type="dxa" w:w="2572"/>
            <w:tcBorders>
              <w:left w:val="nil"/>
              <w:right w:val="nil"/>
              <w:top w:val="nil"/>
              <w:bottom w:val="nil"/>
            </w:tcBorders>
          </w:tcPr>
          <w:p>
            <w:pPr>
              <w:spacing w:before="40" w:after="40" w:line="240" w:lineRule="auto"/>
            </w:pPr>
            <w:r>
              <w:rPr>
                <w:sz w:val="18"/>
              </w:rPr>
              <w:t>Transaction closed before the PIA, so the failure predates the fiscal regime</w:t>
            </w:r>
          </w:p>
        </w:tc>
        <w:tc>
          <w:tcPr>
            <w:tcW w:type="dxa" w:w="2160"/>
            <w:tcW w:type="dxa" w:w="2068"/>
            <w:tcBorders>
              <w:left w:val="nil"/>
              <w:right w:val="nil"/>
              <w:top w:val="nil"/>
              <w:bottom w:val="nil"/>
            </w:tcBorders>
          </w:tcPr>
          <w:p>
            <w:pPr>
              <w:spacing w:before="40" w:after="40" w:line="240" w:lineRule="auto"/>
            </w:pPr>
            <w:r>
              <w:rPr>
                <w:sz w:val="18"/>
              </w:rPr>
              <w:t>Hoop (timing); straw-in-the-wind (cross-operator variation)</w:t>
            </w:r>
          </w:p>
        </w:tc>
        <w:tc>
          <w:tcPr>
            <w:tcW w:type="dxa" w:w="2160"/>
            <w:tcW w:type="dxa" w:w="2033"/>
            <w:tcBorders>
              <w:left w:val="nil"/>
              <w:right w:val="nil"/>
              <w:top w:val="nil"/>
              <w:bottom w:val="nil"/>
            </w:tcBorders>
          </w:tcPr>
          <w:p>
            <w:pPr>
              <w:spacing w:before="40" w:after="40" w:line="240" w:lineRule="auto"/>
            </w:pPr>
            <w:r>
              <w:rPr>
                <w:sz w:val="18"/>
              </w:rPr>
              <w:t>Legal texts (Petroleum Act, PIA); transaction dates; fiscal analysis (Andersen, Brookings)</w:t>
            </w:r>
          </w:p>
        </w:tc>
      </w:tr>
      <w:tr>
        <w:tc>
          <w:tcPr>
            <w:tcW w:type="dxa" w:w="2160"/>
            <w:tcW w:type="dxa" w:w="1967"/>
            <w:tcBorders>
              <w:left w:val="nil"/>
              <w:right w:val="nil"/>
              <w:top w:val="nil"/>
              <w:bottom w:val="nil"/>
            </w:tcBorders>
          </w:tcPr>
          <w:p>
            <w:pPr>
              <w:spacing w:before="40" w:after="40" w:line="240" w:lineRule="auto"/>
            </w:pPr>
            <w:r>
              <w:rPr>
                <w:sz w:val="18"/>
              </w:rPr>
              <w:t>Regulatory inadequacy</w:t>
            </w:r>
          </w:p>
        </w:tc>
        <w:tc>
          <w:tcPr>
            <w:tcW w:type="dxa" w:w="2160"/>
            <w:tcW w:type="dxa" w:w="2572"/>
            <w:tcBorders>
              <w:left w:val="nil"/>
              <w:right w:val="nil"/>
              <w:top w:val="nil"/>
              <w:bottom w:val="nil"/>
            </w:tcBorders>
          </w:tcPr>
          <w:p>
            <w:pPr>
              <w:spacing w:before="40" w:after="40" w:line="240" w:lineRule="auto"/>
            </w:pPr>
            <w:r>
              <w:rPr>
                <w:sz w:val="18"/>
              </w:rPr>
              <w:t>Pre-2024 framework already contained operational-capability criteria</w:t>
            </w:r>
          </w:p>
        </w:tc>
        <w:tc>
          <w:tcPr>
            <w:tcW w:type="dxa" w:w="2160"/>
            <w:tcW w:type="dxa" w:w="2068"/>
            <w:tcBorders>
              <w:left w:val="nil"/>
              <w:right w:val="nil"/>
              <w:top w:val="nil"/>
              <w:bottom w:val="nil"/>
            </w:tcBorders>
          </w:tcPr>
          <w:p>
            <w:pPr>
              <w:spacing w:before="40" w:after="40" w:line="240" w:lineRule="auto"/>
            </w:pPr>
            <w:r>
              <w:rPr>
                <w:sz w:val="18"/>
              </w:rPr>
              <w:t>Hoop (necessary condition); smoking-gun (design versus enforcement)</w:t>
            </w:r>
          </w:p>
        </w:tc>
        <w:tc>
          <w:tcPr>
            <w:tcW w:type="dxa" w:w="2160"/>
            <w:tcW w:type="dxa" w:w="2033"/>
            <w:tcBorders>
              <w:left w:val="nil"/>
              <w:right w:val="nil"/>
              <w:top w:val="nil"/>
              <w:bottom w:val="nil"/>
            </w:tcBorders>
          </w:tcPr>
          <w:p>
            <w:pPr>
              <w:spacing w:before="40" w:after="40" w:line="240" w:lineRule="auto"/>
            </w:pPr>
            <w:r>
              <w:rPr>
                <w:sz w:val="18"/>
              </w:rPr>
              <w:t>Statutory texts; NUPRC statements; cross-operator outcome data</w:t>
            </w:r>
          </w:p>
        </w:tc>
      </w:tr>
      <w:tr>
        <w:tc>
          <w:tcPr>
            <w:tcW w:type="dxa" w:w="2160"/>
            <w:tcW w:type="dxa" w:w="1967"/>
            <w:tcBorders>
              <w:left w:val="nil"/>
              <w:right w:val="nil"/>
              <w:top w:val="nil"/>
              <w:bottom w:val="nil"/>
            </w:tcBorders>
          </w:tcPr>
          <w:p>
            <w:pPr>
              <w:spacing w:before="40" w:after="40" w:line="240" w:lineRule="auto"/>
            </w:pPr>
            <w:r>
              <w:rPr>
                <w:sz w:val="18"/>
              </w:rPr>
              <w:t>Political economy</w:t>
            </w:r>
          </w:p>
        </w:tc>
        <w:tc>
          <w:tcPr>
            <w:tcW w:type="dxa" w:w="2160"/>
            <w:tcW w:type="dxa" w:w="2572"/>
            <w:tcBorders>
              <w:left w:val="nil"/>
              <w:right w:val="nil"/>
              <w:top w:val="nil"/>
              <w:bottom w:val="nil"/>
            </w:tcBorders>
          </w:tcPr>
          <w:p>
            <w:pPr>
              <w:spacing w:before="40" w:after="40" w:line="240" w:lineRule="auto"/>
            </w:pPr>
            <w:r>
              <w:rPr>
                <w:sz w:val="18"/>
              </w:rPr>
              <w:t>Operational quality maintained when capability is transferred</w:t>
            </w:r>
          </w:p>
        </w:tc>
        <w:tc>
          <w:tcPr>
            <w:tcW w:type="dxa" w:w="2160"/>
            <w:tcW w:type="dxa" w:w="2068"/>
            <w:tcBorders>
              <w:left w:val="nil"/>
              <w:right w:val="nil"/>
              <w:top w:val="nil"/>
              <w:bottom w:val="nil"/>
            </w:tcBorders>
          </w:tcPr>
          <w:p>
            <w:pPr>
              <w:spacing w:before="40" w:after="40" w:line="240" w:lineRule="auto"/>
            </w:pPr>
            <w:r>
              <w:rPr>
                <w:sz w:val="18"/>
              </w:rPr>
              <w:t>Smoking-gun against political economy as sufficient</w:t>
            </w:r>
          </w:p>
        </w:tc>
        <w:tc>
          <w:tcPr>
            <w:tcW w:type="dxa" w:w="2160"/>
            <w:tcW w:type="dxa" w:w="2033"/>
            <w:tcBorders>
              <w:left w:val="nil"/>
              <w:right w:val="nil"/>
              <w:top w:val="nil"/>
              <w:bottom w:val="nil"/>
            </w:tcBorders>
          </w:tcPr>
          <w:p>
            <w:pPr>
              <w:spacing w:before="40" w:after="40" w:line="240" w:lineRule="auto"/>
            </w:pPr>
            <w:r>
              <w:rPr>
                <w:sz w:val="18"/>
              </w:rPr>
              <w:t>Corporate registry; Rexer ICPSR dataset; NOSDRA spill records; SDN reports</w:t>
            </w:r>
          </w:p>
        </w:tc>
      </w:tr>
      <w:tr>
        <w:tc>
          <w:tcPr>
            <w:tcW w:type="dxa" w:w="2160"/>
            <w:tcW w:type="dxa" w:w="1967"/>
            <w:tcBorders>
              <w:left w:val="nil"/>
              <w:right w:val="nil"/>
              <w:top w:val="nil"/>
              <w:bottom w:val="nil"/>
            </w:tcBorders>
          </w:tcPr>
          <w:p>
            <w:pPr>
              <w:spacing w:before="40" w:after="40" w:line="240" w:lineRule="auto"/>
            </w:pPr>
            <w:r>
              <w:rPr>
                <w:sz w:val="18"/>
              </w:rPr>
              <w:t>Capability-related factors</w:t>
            </w:r>
          </w:p>
        </w:tc>
        <w:tc>
          <w:tcPr>
            <w:tcW w:type="dxa" w:w="2160"/>
            <w:tcW w:type="dxa" w:w="2572"/>
            <w:tcBorders>
              <w:left w:val="nil"/>
              <w:right w:val="nil"/>
              <w:top w:val="nil"/>
              <w:bottom w:val="nil"/>
            </w:tcBorders>
          </w:tcPr>
          <w:p>
            <w:pPr>
              <w:spacing w:before="40" w:after="40" w:line="240" w:lineRule="auto"/>
            </w:pPr>
            <w:r>
              <w:rPr>
                <w:sz w:val="18"/>
              </w:rPr>
              <w:t>An operator with no inherited knowledge succeeds under crisis</w:t>
            </w:r>
          </w:p>
        </w:tc>
        <w:tc>
          <w:tcPr>
            <w:tcW w:type="dxa" w:w="2160"/>
            <w:tcW w:type="dxa" w:w="2068"/>
            <w:tcBorders>
              <w:left w:val="nil"/>
              <w:right w:val="nil"/>
              <w:top w:val="nil"/>
              <w:bottom w:val="nil"/>
            </w:tcBorders>
          </w:tcPr>
          <w:p>
            <w:pPr>
              <w:spacing w:before="40" w:after="40" w:line="240" w:lineRule="auto"/>
            </w:pPr>
            <w:r>
              <w:rPr>
                <w:sz w:val="18"/>
              </w:rPr>
              <w:t>Smoking-gun against capability; hoop on knowledge-outcome correlation</w:t>
            </w:r>
          </w:p>
        </w:tc>
        <w:tc>
          <w:tcPr>
            <w:tcW w:type="dxa" w:w="2160"/>
            <w:tcW w:type="dxa" w:w="2033"/>
            <w:tcBorders>
              <w:left w:val="nil"/>
              <w:right w:val="nil"/>
              <w:top w:val="nil"/>
              <w:bottom w:val="nil"/>
            </w:tcBorders>
          </w:tcPr>
          <w:p>
            <w:pPr>
              <w:spacing w:before="40" w:after="40" w:line="240" w:lineRule="auto"/>
            </w:pPr>
            <w:r>
              <w:rPr>
                <w:sz w:val="18"/>
              </w:rPr>
              <w:t>Corporate disclosures; NOSDRA data; production records; flare, spill, and LTI proxies</w:t>
            </w:r>
          </w:p>
        </w:tc>
      </w:tr>
      <w:tr>
        <w:tc>
          <w:tcPr>
            <w:tcW w:type="dxa" w:w="2160"/>
            <w:tcW w:type="dxa" w:w="1967"/>
            <w:tcBorders>
              <w:left w:val="nil"/>
              <w:right w:val="nil"/>
              <w:top w:val="nil"/>
              <w:bottom w:val="single" w:sz="8" w:space="0" w:color="000000"/>
            </w:tcBorders>
          </w:tcPr>
          <w:p>
            <w:pPr>
              <w:spacing w:before="40" w:after="40" w:line="240" w:lineRule="auto"/>
            </w:pPr>
            <w:r>
              <w:rPr>
                <w:sz w:val="18"/>
              </w:rPr>
              <w:t>Coordination failure (symptom)</w:t>
            </w:r>
          </w:p>
        </w:tc>
        <w:tc>
          <w:tcPr>
            <w:tcW w:type="dxa" w:w="2160"/>
            <w:tcW w:type="dxa" w:w="2572"/>
            <w:tcBorders>
              <w:left w:val="nil"/>
              <w:right w:val="nil"/>
              <w:top w:val="nil"/>
              <w:bottom w:val="single" w:sz="8" w:space="0" w:color="000000"/>
            </w:tcBorders>
          </w:tcPr>
          <w:p>
            <w:pPr>
              <w:spacing w:before="40" w:after="40" w:line="240" w:lineRule="auto"/>
            </w:pPr>
            <w:r>
              <w:rPr>
                <w:sz w:val="18"/>
              </w:rPr>
              <w:t>Failures persist for years beyond any transition period, six or more in the cases examined</w:t>
            </w:r>
          </w:p>
        </w:tc>
        <w:tc>
          <w:tcPr>
            <w:tcW w:type="dxa" w:w="2160"/>
            <w:tcW w:type="dxa" w:w="2068"/>
            <w:tcBorders>
              <w:left w:val="nil"/>
              <w:right w:val="nil"/>
              <w:top w:val="nil"/>
              <w:bottom w:val="single" w:sz="8" w:space="0" w:color="000000"/>
            </w:tcBorders>
          </w:tcPr>
          <w:p>
            <w:pPr>
              <w:spacing w:before="40" w:after="40" w:line="240" w:lineRule="auto"/>
            </w:pPr>
            <w:r>
              <w:rPr>
                <w:sz w:val="18"/>
              </w:rPr>
              <w:t>Hoop against independence</w:t>
            </w:r>
          </w:p>
        </w:tc>
        <w:tc>
          <w:tcPr>
            <w:tcW w:type="dxa" w:w="2160"/>
            <w:tcW w:type="dxa" w:w="2033"/>
            <w:tcBorders>
              <w:left w:val="nil"/>
              <w:right w:val="nil"/>
              <w:top w:val="nil"/>
              <w:bottom w:val="single" w:sz="8" w:space="0" w:color="000000"/>
            </w:tcBorders>
          </w:tcPr>
          <w:p>
            <w:pPr>
              <w:spacing w:before="40" w:after="40" w:line="240" w:lineRule="auto"/>
            </w:pPr>
            <w:r>
              <w:rPr>
                <w:sz w:val="18"/>
              </w:rPr>
              <w:t>Post-acquisition timelines; persistence of failures across operators</w:t>
            </w:r>
          </w:p>
        </w:tc>
      </w:tr>
    </w:tbl>
    <w:p>
      <w:pPr>
        <w:pStyle w:val="BodyText"/>
      </w:pPr>
      <w:r>
        <w:t xml:space="preserve">The full discrimination matrix with source-level detail, including specific document names, database queries, and variable operationalizations, is presented in Appendix B.</w:t>
      </w:r>
    </w:p>
    <w:p>
      <w:pPr>
        <w:pStyle w:val="BodyText"/>
      </w:pPr>
      <w:r>
        <w:t xml:space="preserve">Two time thresholds operate here, answering different questions. The capability signal emerges at two to three years, by which an operator should have completed a full annual operating cycle and its initial familiarization, so persistence beyond it points to a structural absence of knowledge rather than a transition gap (Section 2.3.5). The coordination-failure bar sits higher: a self-correcting coordination gap eases as the operator settles, so only persistence well beyond any plausible transition period, six years and more in the cases examined, rejects coordination failure as an independent cause.</w:t>
      </w:r>
    </w:p>
    <w:p>
      <w:pPr>
        <w:pStyle w:val="BodyText"/>
      </w:pPr>
      <w:r>
        <w:t xml:space="preserve">Quantitative capability proxies supplement the process tracing analysis. Flare intensity is calculated as total gas flared (standard cubic feet) divided by total crude oil produced (barrels) for each operator over the same time period. Spill frequency is calculated as the number of spills attributed to equipment failure or operational error per million barrels produced. The empirical analysis normalizes this to per 100 million barrels where international benchmarks (UK, Norway) use that standard, to permit direct comparison. Under NOSDRA’s cause classification, spills attributed to</w:t>
      </w:r>
      <w:r>
        <w:t xml:space="preserve"> </w:t>
      </w:r>
      <w:r>
        <w:t xml:space="preserve">“</w:t>
      </w:r>
      <w:r>
        <w:t xml:space="preserve">equipment failure</w:t>
      </w:r>
      <w:r>
        <w:t xml:space="preserve">”</w:t>
      </w:r>
      <w:r>
        <w:t xml:space="preserve"> </w:t>
      </w:r>
      <w:r>
        <w:t xml:space="preserve">and</w:t>
      </w:r>
      <w:r>
        <w:t xml:space="preserve"> </w:t>
      </w:r>
      <w:r>
        <w:t xml:space="preserve">“</w:t>
      </w:r>
      <w:r>
        <w:t xml:space="preserve">operational error</w:t>
      </w:r>
      <w:r>
        <w:t xml:space="preserve">”</w:t>
      </w:r>
      <w:r>
        <w:t xml:space="preserve"> </w:t>
      </w:r>
      <w:r>
        <w:t xml:space="preserve">are included. Spills attributed to</w:t>
      </w:r>
      <w:r>
        <w:t xml:space="preserve"> </w:t>
      </w:r>
      <w:r>
        <w:t xml:space="preserve">“</w:t>
      </w:r>
      <w:r>
        <w:t xml:space="preserve">sabotage,</w:t>
      </w:r>
      <w:r>
        <w:t xml:space="preserve">”</w:t>
      </w:r>
      <w:r>
        <w:t xml:space="preserve"> </w:t>
      </w:r>
      <w:r>
        <w:t xml:space="preserve">“</w:t>
      </w:r>
      <w:r>
        <w:t xml:space="preserve">theft,</w:t>
      </w:r>
      <w:r>
        <w:t xml:space="preserve">”</w:t>
      </w:r>
      <w:r>
        <w:t xml:space="preserve"> </w:t>
      </w:r>
      <w:r>
        <w:t xml:space="preserve">and</w:t>
      </w:r>
      <w:r>
        <w:t xml:space="preserve"> </w:t>
      </w:r>
      <w:r>
        <w:t xml:space="preserve">“</w:t>
      </w:r>
      <w:r>
        <w:t xml:space="preserve">unknown</w:t>
      </w:r>
      <w:r>
        <w:t xml:space="preserve">”</w:t>
      </w:r>
      <w:r>
        <w:t xml:space="preserve"> </w:t>
      </w:r>
      <w:r>
        <w:t xml:space="preserve">are excluded from the operational quality proxy, as these are not directly indicative of operator capability. The distinction is not perfect (sabotage may be facilitated by poor security management, which is an operator responsibility), but it is the best available classification from the data. Data are drawn from the NOSDRA Oil Spill Monitor (queryable at oilspillmonitor.ng, filterable by operator, downloadable as CSV) and NEITI annual audit reports for production volumes.</w:t>
      </w:r>
    </w:p>
    <w:p>
      <w:pPr>
        <w:pStyle w:val="BodyText"/>
      </w:pPr>
      <w:r>
        <w:t xml:space="preserve">Where data for a given operator-year are missing, that year is excluded from the operator’s average. Operators with fewer than three years of post-transfer production data are flagged as having insufficient data for reliable comparison. All comparisons are presented as descriptive statistics (means, ranges). The unit of analysis for quantitative comparisons is the operator category (IOC, indigenous commercial, NPDC) rather than individual named operators, unless operator-level data are available and sufficiently complete for direct comparison. Operator-level comparisons are made only for operators with at least three years of post-transfer production data and recorded spill or flaring data covering at least 75 percent of that period. These metrics are used to corroborate or challenge qualitative inferences about capability at the operator-type level.</w:t>
      </w:r>
    </w:p>
    <w:p>
      <w:pPr>
        <w:pStyle w:val="BodyText"/>
      </w:pPr>
      <w:r>
        <w:t xml:space="preserve">These proxies are outcome indicators from which capability is inferred, not direct measures of capability. The inference is valid when the outcome pattern matches capability predictions and does not match the predictions of competing explanations.</w:t>
      </w:r>
    </w:p>
    <w:p>
      <w:pPr>
        <w:pStyle w:val="BodyText"/>
      </w:pPr>
      <w:r>
        <w:t xml:space="preserve">The epistemological claim is pattern consistency under pre-specified discrimination, not causal identification in the experimental sense. The analysis identifies which explanation is most consistent with the observable evidence after each has been tested against its own falsification conditions. This constitutes the strongest inferential claim available from a case study design based on documentary evidence and is the standard Yin (2009) establishes for analytic generalization.</w:t>
      </w:r>
    </w:p>
    <w:bookmarkEnd w:id="24"/>
    <w:bookmarkStart w:id="25" w:name="interview-protocol"/>
    <w:p>
      <w:pPr>
        <w:pStyle w:val="Heading2"/>
      </w:pPr>
      <w:r>
        <w:t xml:space="preserve">3.5 Interview Protocol</w:t>
      </w:r>
    </w:p>
    <w:p>
      <w:pPr>
        <w:pStyle w:val="FirstParagraph"/>
      </w:pPr>
      <w:r>
        <w:t xml:space="preserve">Semi-structured interviews and, where scheduling constraints prevent interviews, a structured survey instrument with equivalent questions provide Tier 2 evidence from industry participants across three groups. Group A comprises IOC technical staff involved in pre-divestment operations. Group B comprises DOC operators and managers who assumed operational control of the assets. Group C comprises regulatory officials responsible for divestment oversight. The interview protocol received exemption from the MIT Committee on the Use of Humans as Experimental Subjects (COUHES Protocol E-7658). The full case study protocol, including the participant-group design, informed-consent procedures, and pre-specified coding categories, is provided in Appendix A, and the interview guide for each group is reproduced in Appendix C.</w:t>
      </w:r>
    </w:p>
    <w:p>
      <w:pPr>
        <w:pStyle w:val="BodyText"/>
      </w:pPr>
      <w:r>
        <w:t xml:space="preserve">All core tests rely on Tier 1 documentary data. Where participant testimonies are obtained, they are treated as corroborative or clarificatory evidence, upgrading a verdict in the two ways set out in Section 3.3.</w:t>
      </w:r>
    </w:p>
    <w:p>
      <w:pPr>
        <w:pStyle w:val="BodyText"/>
      </w:pPr>
      <w:r>
        <w:t xml:space="preserve">Each interview follows a standardized core of questions asked identically to every participant within the same group, supplemented by structured probes tailored to the participant’s role and the specific case under discussion. Questions ask about observable operational events and decisions, not about feelings, opinions, or proprietary information. This design choice follows the thesis manual’s guidance that action-based questions produce more reliable data than perception-based questions (Field and de Neufville, 2021).</w:t>
      </w:r>
    </w:p>
    <w:p>
      <w:pPr>
        <w:pStyle w:val="BodyText"/>
      </w:pPr>
      <w:r>
        <w:t xml:space="preserve">Current employee participants face validity risks that former employees do not. Corporate confidentiality may constrain their responses, they may self-censor to avoid contradicting their employer, and favorable self-presentation or concern about professional retaliation can shape how they describe events. These risks are addressed by focusing questions on observable events rather than proprietary information, triangulating current employee responses against independent sources, and noting divergence between testimony and independent evidence with weight reflecting consistency across the broader evidentiary pattern. The analysis also explicitly acknowledges the validity limitations in the empirical analysis.</w:t>
      </w:r>
    </w:p>
    <w:p>
      <w:pPr>
        <w:pStyle w:val="BodyText"/>
      </w:pPr>
      <w:r>
        <w:t xml:space="preserve">The principal investigator is a current employee of Chevron Nigeria. This affiliation is disclosed to every participant at the start of every interview. No current Chevron employees are interviewed about Chevron-specific operations, and none of the cases examined in this thesis involves an asset operated by Chevron Nigeria. The Aiteo, Eroton, First Hydrocarbon, Seplat, Shoreline/HEOSL, and NPDC cases, together with the Renaissance design contrast, involve assets divested through the Shell-operated SPDC joint venture, in which Total and Eni were the other international partners. The investigator has no direct professional involvement with any of them. The research design, case selection, and analytical conclusions are independent of the investigator’s employment.</w:t>
      </w:r>
    </w:p>
    <w:p>
      <w:pPr>
        <w:pStyle w:val="BodyText"/>
      </w:pPr>
      <w:r>
        <w:t xml:space="preserve">Informed consent is obtained verbally at the start of each interview and through an embedded consent screen at the start of each survey. Participants are de-identified in all transcripts, notes, and thesis text. Names are replaced with alphanumeric codes. Organizational affiliations are generalized to prevent indirect identification. Any quotations used in the thesis are anonymized and lightly edited only for clarity, not substance. Recordings are deleted after transcription is verified. All data are stored on the investigator’s password-protected personal computer with encrypted backup.</w:t>
      </w:r>
    </w:p>
    <w:bookmarkEnd w:id="25"/>
    <w:bookmarkStart w:id="26" w:name="validity-reliability-and-limitations"/>
    <w:p>
      <w:pPr>
        <w:pStyle w:val="Heading2"/>
      </w:pPr>
      <w:r>
        <w:t xml:space="preserve">3.6 Validity, Reliability, and Limitations</w:t>
      </w:r>
    </w:p>
    <w:p>
      <w:pPr>
        <w:pStyle w:val="FirstParagraph"/>
      </w:pPr>
      <w:r>
        <w:t xml:space="preserve">Table 3.2 summarizes the design quality tests applied to this study, adapted from Yin (2009). The case study database includes a case-by-case evidence table (Appendix D) and a verdict traceability matrix (Appendix E). Each verdict in the empirical analysis is traceable to specific rows in the evidence table, with all sources listed in the References.</w:t>
      </w:r>
    </w:p>
    <w:p>
      <w:pPr>
        <w:pStyle w:val="BodyText"/>
      </w:pPr>
      <w:r>
        <w:rPr>
          <w:bCs/>
          <w:b/>
        </w:rPr>
        <w:t xml:space="preserve">Table 3.2. Design quality tests applied to the study, after Yin (2009), with the tactic used to satisfy each.</w:t>
      </w:r>
    </w:p>
    <w:tbl>
      <w:tblPr>
        <w:tblW w:type="auto" w:w="0"/>
        <w:tblLook w:firstColumn="1" w:firstRow="1" w:lastColumn="0" w:lastRow="0" w:noHBand="0" w:noVBand="1" w:val="04A0"/>
        <w:tblLayout w:type="fixed"/>
        <w:tblW w:type="dxa" w:w="8640"/>
      </w:tblPr>
      <w:tblGrid>
        <w:gridCol w:w="1529"/>
        <w:gridCol w:w="2066"/>
        <w:gridCol w:w="1987"/>
        <w:gridCol w:w="3058"/>
      </w:tblGrid>
      <w:tr>
        <w:tc>
          <w:tcPr>
            <w:tcW w:type="dxa" w:w="2160"/>
            <w:tcW w:type="dxa" w:w="1529"/>
            <w:tcBorders>
              <w:left w:val="nil"/>
              <w:right w:val="nil"/>
              <w:top w:val="single" w:sz="8" w:space="0" w:color="000000"/>
              <w:bottom w:val="single" w:sz="4" w:space="0" w:color="000000"/>
            </w:tcBorders>
          </w:tcPr>
          <w:p>
            <w:pPr>
              <w:spacing w:before="40" w:after="40" w:line="240" w:lineRule="auto"/>
            </w:pPr>
            <w:r>
              <w:rPr>
                <w:b/>
                <w:sz w:val="18"/>
              </w:rPr>
              <w:t>Test</w:t>
            </w:r>
          </w:p>
        </w:tc>
        <w:tc>
          <w:tcPr>
            <w:tcW w:type="dxa" w:w="2160"/>
            <w:tcW w:type="dxa" w:w="2066"/>
            <w:tcBorders>
              <w:left w:val="nil"/>
              <w:right w:val="nil"/>
              <w:top w:val="single" w:sz="8" w:space="0" w:color="000000"/>
              <w:bottom w:val="single" w:sz="4" w:space="0" w:color="000000"/>
            </w:tcBorders>
          </w:tcPr>
          <w:p>
            <w:pPr>
              <w:spacing w:before="40" w:after="40" w:line="240" w:lineRule="auto"/>
            </w:pPr>
            <w:r>
              <w:rPr>
                <w:b/>
                <w:sz w:val="18"/>
              </w:rPr>
              <w:t>Threat</w:t>
            </w:r>
          </w:p>
        </w:tc>
        <w:tc>
          <w:tcPr>
            <w:tcW w:type="dxa" w:w="2160"/>
            <w:tcW w:type="dxa" w:w="1987"/>
            <w:tcBorders>
              <w:left w:val="nil"/>
              <w:right w:val="nil"/>
              <w:top w:val="single" w:sz="8" w:space="0" w:color="000000"/>
              <w:bottom w:val="single" w:sz="4" w:space="0" w:color="000000"/>
            </w:tcBorders>
          </w:tcPr>
          <w:p>
            <w:pPr>
              <w:spacing w:before="40" w:after="40" w:line="240" w:lineRule="auto"/>
            </w:pPr>
            <w:r>
              <w:rPr>
                <w:b/>
                <w:sz w:val="18"/>
              </w:rPr>
              <w:t>Tactic</w:t>
            </w:r>
          </w:p>
        </w:tc>
        <w:tc>
          <w:tcPr>
            <w:tcW w:type="dxa" w:w="2160"/>
            <w:tcW w:type="dxa" w:w="3058"/>
            <w:tcBorders>
              <w:left w:val="nil"/>
              <w:right w:val="nil"/>
              <w:top w:val="single" w:sz="8" w:space="0" w:color="000000"/>
              <w:bottom w:val="single" w:sz="4" w:space="0" w:color="000000"/>
            </w:tcBorders>
          </w:tcPr>
          <w:p>
            <w:pPr>
              <w:spacing w:before="40" w:after="40" w:line="240" w:lineRule="auto"/>
            </w:pPr>
            <w:r>
              <w:rPr>
                <w:b/>
                <w:sz w:val="18"/>
              </w:rPr>
              <w:t>Implementation</w:t>
            </w:r>
          </w:p>
        </w:tc>
      </w:tr>
      <w:tr>
        <w:tc>
          <w:tcPr>
            <w:tcW w:type="dxa" w:w="2160"/>
            <w:tcW w:type="dxa" w:w="1529"/>
            <w:tcBorders>
              <w:left w:val="nil"/>
              <w:right w:val="nil"/>
              <w:top w:val="nil"/>
              <w:bottom w:val="nil"/>
            </w:tcBorders>
          </w:tcPr>
          <w:p>
            <w:pPr>
              <w:spacing w:before="40" w:after="40" w:line="240" w:lineRule="auto"/>
            </w:pPr>
            <w:r>
              <w:rPr>
                <w:sz w:val="18"/>
              </w:rPr>
              <w:t>Construct validity</w:t>
            </w:r>
          </w:p>
        </w:tc>
        <w:tc>
          <w:tcPr>
            <w:tcW w:type="dxa" w:w="2160"/>
            <w:tcW w:type="dxa" w:w="2066"/>
            <w:tcBorders>
              <w:left w:val="nil"/>
              <w:right w:val="nil"/>
              <w:top w:val="nil"/>
              <w:bottom w:val="nil"/>
            </w:tcBorders>
          </w:tcPr>
          <w:p>
            <w:pPr>
              <w:spacing w:before="40" w:after="40" w:line="240" w:lineRule="auto"/>
            </w:pPr>
            <w:r>
              <w:rPr>
                <w:sz w:val="18"/>
              </w:rPr>
              <w:t>Study does not measure what it claims</w:t>
            </w:r>
          </w:p>
        </w:tc>
        <w:tc>
          <w:tcPr>
            <w:tcW w:type="dxa" w:w="2160"/>
            <w:tcW w:type="dxa" w:w="1987"/>
            <w:tcBorders>
              <w:left w:val="nil"/>
              <w:right w:val="nil"/>
              <w:top w:val="nil"/>
              <w:bottom w:val="nil"/>
            </w:tcBorders>
          </w:tcPr>
          <w:p>
            <w:pPr>
              <w:spacing w:before="40" w:after="40" w:line="240" w:lineRule="auto"/>
            </w:pPr>
            <w:r>
              <w:rPr>
                <w:sz w:val="18"/>
              </w:rPr>
              <w:t>Multiple sources of evidence</w:t>
            </w:r>
          </w:p>
        </w:tc>
        <w:tc>
          <w:tcPr>
            <w:tcW w:type="dxa" w:w="2160"/>
            <w:tcW w:type="dxa" w:w="3058"/>
            <w:tcBorders>
              <w:left w:val="nil"/>
              <w:right w:val="nil"/>
              <w:top w:val="nil"/>
              <w:bottom w:val="nil"/>
            </w:tcBorders>
          </w:tcPr>
          <w:p>
            <w:pPr>
              <w:spacing w:before="40" w:after="40" w:line="240" w:lineRule="auto"/>
            </w:pPr>
            <w:r>
              <w:rPr>
                <w:sz w:val="18"/>
              </w:rPr>
              <w:t>Documentary sources (Tier A and B) plus participant testimony where obtained</w:t>
            </w:r>
          </w:p>
        </w:tc>
      </w:tr>
      <w:tr>
        <w:tc>
          <w:tcPr>
            <w:tcW w:type="dxa" w:w="2160"/>
            <w:tcW w:type="dxa" w:w="1529"/>
            <w:tcBorders>
              <w:left w:val="nil"/>
              <w:right w:val="nil"/>
              <w:top w:val="nil"/>
              <w:bottom w:val="nil"/>
            </w:tcBorders>
          </w:tcPr>
          <w:p>
            <w:pPr>
              <w:spacing w:before="40" w:after="40" w:line="240" w:lineRule="auto"/>
            </w:pPr>
            <w:r>
              <w:rPr>
                <w:sz w:val="18"/>
              </w:rPr>
            </w:r>
          </w:p>
        </w:tc>
        <w:tc>
          <w:tcPr>
            <w:tcW w:type="dxa" w:w="2160"/>
            <w:tcW w:type="dxa" w:w="2066"/>
            <w:tcBorders>
              <w:left w:val="nil"/>
              <w:right w:val="nil"/>
              <w:top w:val="nil"/>
              <w:bottom w:val="nil"/>
            </w:tcBorders>
          </w:tcPr>
          <w:p>
            <w:pPr>
              <w:spacing w:before="40" w:after="40" w:line="240" w:lineRule="auto"/>
            </w:pPr>
            <w:r>
              <w:rPr>
                <w:sz w:val="18"/>
              </w:rPr>
            </w:r>
          </w:p>
        </w:tc>
        <w:tc>
          <w:tcPr>
            <w:tcW w:type="dxa" w:w="2160"/>
            <w:tcW w:type="dxa" w:w="1987"/>
            <w:tcBorders>
              <w:left w:val="nil"/>
              <w:right w:val="nil"/>
              <w:top w:val="nil"/>
              <w:bottom w:val="nil"/>
            </w:tcBorders>
          </w:tcPr>
          <w:p>
            <w:pPr>
              <w:spacing w:before="40" w:after="40" w:line="240" w:lineRule="auto"/>
            </w:pPr>
            <w:r>
              <w:rPr>
                <w:sz w:val="18"/>
              </w:rPr>
              <w:t>Chain of evidence</w:t>
            </w:r>
          </w:p>
        </w:tc>
        <w:tc>
          <w:tcPr>
            <w:tcW w:type="dxa" w:w="2160"/>
            <w:tcW w:type="dxa" w:w="3058"/>
            <w:tcBorders>
              <w:left w:val="nil"/>
              <w:right w:val="nil"/>
              <w:top w:val="nil"/>
              <w:bottom w:val="nil"/>
            </w:tcBorders>
          </w:tcPr>
          <w:p>
            <w:pPr>
              <w:spacing w:before="40" w:after="40" w:line="240" w:lineRule="auto"/>
            </w:pPr>
            <w:r>
              <w:rPr>
                <w:sz w:val="18"/>
              </w:rPr>
              <w:t>Case study database: sources to coded categories to verdicts (Appendices D, E, F)</w:t>
            </w:r>
          </w:p>
        </w:tc>
      </w:tr>
      <w:tr>
        <w:tc>
          <w:tcPr>
            <w:tcW w:type="dxa" w:w="2160"/>
            <w:tcW w:type="dxa" w:w="1529"/>
            <w:tcBorders>
              <w:left w:val="nil"/>
              <w:right w:val="nil"/>
              <w:top w:val="nil"/>
              <w:bottom w:val="nil"/>
            </w:tcBorders>
          </w:tcPr>
          <w:p>
            <w:pPr>
              <w:spacing w:before="40" w:after="40" w:line="240" w:lineRule="auto"/>
            </w:pPr>
            <w:r>
              <w:rPr>
                <w:sz w:val="18"/>
              </w:rPr>
              <w:t>Internal validity</w:t>
            </w:r>
          </w:p>
        </w:tc>
        <w:tc>
          <w:tcPr>
            <w:tcW w:type="dxa" w:w="2160"/>
            <w:tcW w:type="dxa" w:w="2066"/>
            <w:tcBorders>
              <w:left w:val="nil"/>
              <w:right w:val="nil"/>
              <w:top w:val="nil"/>
              <w:bottom w:val="nil"/>
            </w:tcBorders>
          </w:tcPr>
          <w:p>
            <w:pPr>
              <w:spacing w:before="40" w:after="40" w:line="240" w:lineRule="auto"/>
            </w:pPr>
            <w:r>
              <w:rPr>
                <w:sz w:val="18"/>
              </w:rPr>
              <w:t>Causal inferences unjustified</w:t>
            </w:r>
          </w:p>
        </w:tc>
        <w:tc>
          <w:tcPr>
            <w:tcW w:type="dxa" w:w="2160"/>
            <w:tcW w:type="dxa" w:w="1987"/>
            <w:tcBorders>
              <w:left w:val="nil"/>
              <w:right w:val="nil"/>
              <w:top w:val="nil"/>
              <w:bottom w:val="nil"/>
            </w:tcBorders>
          </w:tcPr>
          <w:p>
            <w:pPr>
              <w:spacing w:before="40" w:after="40" w:line="240" w:lineRule="auto"/>
            </w:pPr>
            <w:r>
              <w:rPr>
                <w:sz w:val="18"/>
              </w:rPr>
              <w:t>Pattern matching</w:t>
            </w:r>
          </w:p>
        </w:tc>
        <w:tc>
          <w:tcPr>
            <w:tcW w:type="dxa" w:w="2160"/>
            <w:tcW w:type="dxa" w:w="3058"/>
            <w:tcBorders>
              <w:left w:val="nil"/>
              <w:right w:val="nil"/>
              <w:top w:val="nil"/>
              <w:bottom w:val="nil"/>
            </w:tcBorders>
          </w:tcPr>
          <w:p>
            <w:pPr>
              <w:spacing w:before="40" w:after="40" w:line="240" w:lineRule="auto"/>
            </w:pPr>
            <w:r>
              <w:rPr>
                <w:sz w:val="18"/>
              </w:rPr>
              <w:t>Evidence compared to discrimination apparatus predictions from the theoretical framework</w:t>
            </w:r>
          </w:p>
        </w:tc>
      </w:tr>
      <w:tr>
        <w:tc>
          <w:tcPr>
            <w:tcW w:type="dxa" w:w="2160"/>
            <w:tcW w:type="dxa" w:w="1529"/>
            <w:tcBorders>
              <w:left w:val="nil"/>
              <w:right w:val="nil"/>
              <w:top w:val="nil"/>
              <w:bottom w:val="nil"/>
            </w:tcBorders>
          </w:tcPr>
          <w:p>
            <w:pPr>
              <w:spacing w:before="40" w:after="40" w:line="240" w:lineRule="auto"/>
            </w:pPr>
            <w:r>
              <w:rPr>
                <w:sz w:val="18"/>
              </w:rPr>
            </w:r>
          </w:p>
        </w:tc>
        <w:tc>
          <w:tcPr>
            <w:tcW w:type="dxa" w:w="2160"/>
            <w:tcW w:type="dxa" w:w="2066"/>
            <w:tcBorders>
              <w:left w:val="nil"/>
              <w:right w:val="nil"/>
              <w:top w:val="nil"/>
              <w:bottom w:val="nil"/>
            </w:tcBorders>
          </w:tcPr>
          <w:p>
            <w:pPr>
              <w:spacing w:before="40" w:after="40" w:line="240" w:lineRule="auto"/>
            </w:pPr>
            <w:r>
              <w:rPr>
                <w:sz w:val="18"/>
              </w:rPr>
            </w:r>
          </w:p>
        </w:tc>
        <w:tc>
          <w:tcPr>
            <w:tcW w:type="dxa" w:w="2160"/>
            <w:tcW w:type="dxa" w:w="1987"/>
            <w:tcBorders>
              <w:left w:val="nil"/>
              <w:right w:val="nil"/>
              <w:top w:val="nil"/>
              <w:bottom w:val="nil"/>
            </w:tcBorders>
          </w:tcPr>
          <w:p>
            <w:pPr>
              <w:spacing w:before="40" w:after="40" w:line="240" w:lineRule="auto"/>
            </w:pPr>
            <w:r>
              <w:rPr>
                <w:sz w:val="18"/>
              </w:rPr>
              <w:t>Rival explanations</w:t>
            </w:r>
          </w:p>
        </w:tc>
        <w:tc>
          <w:tcPr>
            <w:tcW w:type="dxa" w:w="2160"/>
            <w:tcW w:type="dxa" w:w="3058"/>
            <w:tcBorders>
              <w:left w:val="nil"/>
              <w:right w:val="nil"/>
              <w:top w:val="nil"/>
              <w:bottom w:val="nil"/>
            </w:tcBorders>
          </w:tcPr>
          <w:p>
            <w:pPr>
              <w:spacing w:before="40" w:after="40" w:line="240" w:lineRule="auto"/>
            </w:pPr>
            <w:r>
              <w:rPr>
                <w:sz w:val="18"/>
              </w:rPr>
              <w:t>All five explanations assessed for every case; none excluded without evidence</w:t>
            </w:r>
          </w:p>
        </w:tc>
      </w:tr>
      <w:tr>
        <w:tc>
          <w:tcPr>
            <w:tcW w:type="dxa" w:w="2160"/>
            <w:tcW w:type="dxa" w:w="1529"/>
            <w:tcBorders>
              <w:left w:val="nil"/>
              <w:right w:val="nil"/>
              <w:top w:val="nil"/>
              <w:bottom w:val="nil"/>
            </w:tcBorders>
          </w:tcPr>
          <w:p>
            <w:pPr>
              <w:spacing w:before="40" w:after="40" w:line="240" w:lineRule="auto"/>
            </w:pPr>
            <w:r>
              <w:rPr>
                <w:sz w:val="18"/>
              </w:rPr>
            </w:r>
          </w:p>
        </w:tc>
        <w:tc>
          <w:tcPr>
            <w:tcW w:type="dxa" w:w="2160"/>
            <w:tcW w:type="dxa" w:w="2066"/>
            <w:tcBorders>
              <w:left w:val="nil"/>
              <w:right w:val="nil"/>
              <w:top w:val="nil"/>
              <w:bottom w:val="nil"/>
            </w:tcBorders>
          </w:tcPr>
          <w:p>
            <w:pPr>
              <w:spacing w:before="40" w:after="40" w:line="240" w:lineRule="auto"/>
            </w:pPr>
            <w:r>
              <w:rPr>
                <w:sz w:val="18"/>
              </w:rPr>
            </w:r>
          </w:p>
        </w:tc>
        <w:tc>
          <w:tcPr>
            <w:tcW w:type="dxa" w:w="2160"/>
            <w:tcW w:type="dxa" w:w="1987"/>
            <w:tcBorders>
              <w:left w:val="nil"/>
              <w:right w:val="nil"/>
              <w:top w:val="nil"/>
              <w:bottom w:val="nil"/>
            </w:tcBorders>
          </w:tcPr>
          <w:p>
            <w:pPr>
              <w:spacing w:before="40" w:after="40" w:line="240" w:lineRule="auto"/>
            </w:pPr>
            <w:r>
              <w:rPr>
                <w:sz w:val="18"/>
              </w:rPr>
              <w:t>Pre-specified falsification</w:t>
            </w:r>
          </w:p>
        </w:tc>
        <w:tc>
          <w:tcPr>
            <w:tcW w:type="dxa" w:w="2160"/>
            <w:tcW w:type="dxa" w:w="3058"/>
            <w:tcBorders>
              <w:left w:val="nil"/>
              <w:right w:val="nil"/>
              <w:top w:val="nil"/>
              <w:bottom w:val="nil"/>
            </w:tcBorders>
          </w:tcPr>
          <w:p>
            <w:pPr>
              <w:spacing w:before="40" w:after="40" w:line="240" w:lineRule="auto"/>
            </w:pPr>
            <w:r>
              <w:rPr>
                <w:sz w:val="18"/>
              </w:rPr>
              <w:t>Falsification conditions and test types specified before evidence examined, reducing post-hoc rationalization</w:t>
            </w:r>
          </w:p>
        </w:tc>
      </w:tr>
      <w:tr>
        <w:tc>
          <w:tcPr>
            <w:tcW w:type="dxa" w:w="2160"/>
            <w:tcW w:type="dxa" w:w="1529"/>
            <w:tcBorders>
              <w:left w:val="nil"/>
              <w:right w:val="nil"/>
              <w:top w:val="nil"/>
              <w:bottom w:val="nil"/>
            </w:tcBorders>
          </w:tcPr>
          <w:p>
            <w:pPr>
              <w:spacing w:before="40" w:after="40" w:line="240" w:lineRule="auto"/>
            </w:pPr>
            <w:r>
              <w:rPr>
                <w:sz w:val="18"/>
              </w:rPr>
            </w:r>
          </w:p>
        </w:tc>
        <w:tc>
          <w:tcPr>
            <w:tcW w:type="dxa" w:w="2160"/>
            <w:tcW w:type="dxa" w:w="2066"/>
            <w:tcBorders>
              <w:left w:val="nil"/>
              <w:right w:val="nil"/>
              <w:top w:val="nil"/>
              <w:bottom w:val="nil"/>
            </w:tcBorders>
          </w:tcPr>
          <w:p>
            <w:pPr>
              <w:spacing w:before="40" w:after="40" w:line="240" w:lineRule="auto"/>
            </w:pPr>
            <w:r>
              <w:rPr>
                <w:sz w:val="18"/>
              </w:rPr>
            </w:r>
          </w:p>
        </w:tc>
        <w:tc>
          <w:tcPr>
            <w:tcW w:type="dxa" w:w="2160"/>
            <w:tcW w:type="dxa" w:w="1987"/>
            <w:tcBorders>
              <w:left w:val="nil"/>
              <w:right w:val="nil"/>
              <w:top w:val="nil"/>
              <w:bottom w:val="nil"/>
            </w:tcBorders>
          </w:tcPr>
          <w:p>
            <w:pPr>
              <w:spacing w:before="40" w:after="40" w:line="240" w:lineRule="auto"/>
            </w:pPr>
            <w:r>
              <w:rPr>
                <w:sz w:val="18"/>
              </w:rPr>
              <w:t>Logic models</w:t>
            </w:r>
          </w:p>
        </w:tc>
        <w:tc>
          <w:tcPr>
            <w:tcW w:type="dxa" w:w="2160"/>
            <w:tcW w:type="dxa" w:w="3058"/>
            <w:tcBorders>
              <w:left w:val="nil"/>
              <w:right w:val="nil"/>
              <w:top w:val="nil"/>
              <w:bottom w:val="nil"/>
            </w:tcBorders>
          </w:tcPr>
          <w:p>
            <w:pPr>
              <w:spacing w:before="40" w:after="40" w:line="240" w:lineRule="auto"/>
            </w:pPr>
            <w:r>
              <w:rPr>
                <w:sz w:val="18"/>
              </w:rPr>
              <w:t>Causal chains with falsification conditions specified in the theoretical framework</w:t>
            </w:r>
          </w:p>
        </w:tc>
      </w:tr>
      <w:tr>
        <w:tc>
          <w:tcPr>
            <w:tcW w:type="dxa" w:w="2160"/>
            <w:tcW w:type="dxa" w:w="1529"/>
            <w:tcBorders>
              <w:left w:val="nil"/>
              <w:right w:val="nil"/>
              <w:top w:val="nil"/>
              <w:bottom w:val="nil"/>
            </w:tcBorders>
          </w:tcPr>
          <w:p>
            <w:pPr>
              <w:spacing w:before="40" w:after="40" w:line="240" w:lineRule="auto"/>
            </w:pPr>
            <w:r>
              <w:rPr>
                <w:sz w:val="18"/>
              </w:rPr>
              <w:t>External validity</w:t>
            </w:r>
          </w:p>
        </w:tc>
        <w:tc>
          <w:tcPr>
            <w:tcW w:type="dxa" w:w="2160"/>
            <w:tcW w:type="dxa" w:w="2066"/>
            <w:tcBorders>
              <w:left w:val="nil"/>
              <w:right w:val="nil"/>
              <w:top w:val="nil"/>
              <w:bottom w:val="nil"/>
            </w:tcBorders>
          </w:tcPr>
          <w:p>
            <w:pPr>
              <w:spacing w:before="40" w:after="40" w:line="240" w:lineRule="auto"/>
            </w:pPr>
            <w:r>
              <w:rPr>
                <w:sz w:val="18"/>
              </w:rPr>
              <w:t>Findings not generalizable</w:t>
            </w:r>
          </w:p>
        </w:tc>
        <w:tc>
          <w:tcPr>
            <w:tcW w:type="dxa" w:w="2160"/>
            <w:tcW w:type="dxa" w:w="1987"/>
            <w:tcBorders>
              <w:left w:val="nil"/>
              <w:right w:val="nil"/>
              <w:top w:val="nil"/>
              <w:bottom w:val="nil"/>
            </w:tcBorders>
          </w:tcPr>
          <w:p>
            <w:pPr>
              <w:spacing w:before="40" w:after="40" w:line="240" w:lineRule="auto"/>
            </w:pPr>
            <w:r>
              <w:rPr>
                <w:sz w:val="18"/>
              </w:rPr>
              <w:t>Replication logic</w:t>
            </w:r>
          </w:p>
        </w:tc>
        <w:tc>
          <w:tcPr>
            <w:tcW w:type="dxa" w:w="2160"/>
            <w:tcW w:type="dxa" w:w="3058"/>
            <w:tcBorders>
              <w:left w:val="nil"/>
              <w:right w:val="nil"/>
              <w:top w:val="nil"/>
              <w:bottom w:val="nil"/>
            </w:tcBorders>
          </w:tcPr>
          <w:p>
            <w:pPr>
              <w:spacing w:before="40" w:after="40" w:line="240" w:lineRule="auto"/>
            </w:pPr>
            <w:r>
              <w:rPr>
                <w:sz w:val="18"/>
              </w:rPr>
              <w:t>Literal and theoretical replications across six operators plus marginal fields</w:t>
            </w:r>
          </w:p>
        </w:tc>
      </w:tr>
      <w:tr>
        <w:tc>
          <w:tcPr>
            <w:tcW w:type="dxa" w:w="2160"/>
            <w:tcW w:type="dxa" w:w="1529"/>
            <w:tcBorders>
              <w:left w:val="nil"/>
              <w:right w:val="nil"/>
              <w:top w:val="nil"/>
              <w:bottom w:val="nil"/>
            </w:tcBorders>
          </w:tcPr>
          <w:p>
            <w:pPr>
              <w:spacing w:before="40" w:after="40" w:line="240" w:lineRule="auto"/>
            </w:pPr>
            <w:r>
              <w:rPr>
                <w:sz w:val="18"/>
              </w:rPr>
            </w:r>
          </w:p>
        </w:tc>
        <w:tc>
          <w:tcPr>
            <w:tcW w:type="dxa" w:w="2160"/>
            <w:tcW w:type="dxa" w:w="2066"/>
            <w:tcBorders>
              <w:left w:val="nil"/>
              <w:right w:val="nil"/>
              <w:top w:val="nil"/>
              <w:bottom w:val="nil"/>
            </w:tcBorders>
          </w:tcPr>
          <w:p>
            <w:pPr>
              <w:spacing w:before="40" w:after="40" w:line="240" w:lineRule="auto"/>
            </w:pPr>
            <w:r>
              <w:rPr>
                <w:sz w:val="18"/>
              </w:rPr>
            </w:r>
          </w:p>
        </w:tc>
        <w:tc>
          <w:tcPr>
            <w:tcW w:type="dxa" w:w="2160"/>
            <w:tcW w:type="dxa" w:w="1987"/>
            <w:tcBorders>
              <w:left w:val="nil"/>
              <w:right w:val="nil"/>
              <w:top w:val="nil"/>
              <w:bottom w:val="nil"/>
            </w:tcBorders>
          </w:tcPr>
          <w:p>
            <w:pPr>
              <w:spacing w:before="40" w:after="40" w:line="240" w:lineRule="auto"/>
            </w:pPr>
            <w:r>
              <w:rPr>
                <w:sz w:val="18"/>
              </w:rPr>
              <w:t>Theory-based generalization</w:t>
            </w:r>
          </w:p>
        </w:tc>
        <w:tc>
          <w:tcPr>
            <w:tcW w:type="dxa" w:w="2160"/>
            <w:tcW w:type="dxa" w:w="3058"/>
            <w:tcBorders>
              <w:left w:val="nil"/>
              <w:right w:val="nil"/>
              <w:top w:val="nil"/>
              <w:bottom w:val="nil"/>
            </w:tcBorders>
          </w:tcPr>
          <w:p>
            <w:pPr>
              <w:spacing w:before="40" w:after="40" w:line="240" w:lineRule="auto"/>
            </w:pPr>
            <w:r>
              <w:rPr>
                <w:sz w:val="18"/>
              </w:rPr>
              <w:t>Analytic generalization to propositions, not statistical generalization</w:t>
            </w:r>
          </w:p>
        </w:tc>
      </w:tr>
      <w:tr>
        <w:tc>
          <w:tcPr>
            <w:tcW w:type="dxa" w:w="2160"/>
            <w:tcW w:type="dxa" w:w="1529"/>
            <w:tcBorders>
              <w:left w:val="nil"/>
              <w:right w:val="nil"/>
              <w:top w:val="nil"/>
              <w:bottom w:val="nil"/>
            </w:tcBorders>
          </w:tcPr>
          <w:p>
            <w:pPr>
              <w:spacing w:before="40" w:after="40" w:line="240" w:lineRule="auto"/>
            </w:pPr>
            <w:r>
              <w:rPr>
                <w:sz w:val="18"/>
              </w:rPr>
              <w:t>Reliability</w:t>
            </w:r>
          </w:p>
        </w:tc>
        <w:tc>
          <w:tcPr>
            <w:tcW w:type="dxa" w:w="2160"/>
            <w:tcW w:type="dxa" w:w="2066"/>
            <w:tcBorders>
              <w:left w:val="nil"/>
              <w:right w:val="nil"/>
              <w:top w:val="nil"/>
              <w:bottom w:val="nil"/>
            </w:tcBorders>
          </w:tcPr>
          <w:p>
            <w:pPr>
              <w:spacing w:before="40" w:after="40" w:line="240" w:lineRule="auto"/>
            </w:pPr>
            <w:r>
              <w:rPr>
                <w:sz w:val="18"/>
              </w:rPr>
              <w:t>Procedures not replicable</w:t>
            </w:r>
          </w:p>
        </w:tc>
        <w:tc>
          <w:tcPr>
            <w:tcW w:type="dxa" w:w="2160"/>
            <w:tcW w:type="dxa" w:w="1987"/>
            <w:tcBorders>
              <w:left w:val="nil"/>
              <w:right w:val="nil"/>
              <w:top w:val="nil"/>
              <w:bottom w:val="nil"/>
            </w:tcBorders>
          </w:tcPr>
          <w:p>
            <w:pPr>
              <w:spacing w:before="40" w:after="40" w:line="240" w:lineRule="auto"/>
            </w:pPr>
            <w:r>
              <w:rPr>
                <w:sz w:val="18"/>
              </w:rPr>
              <w:t>Case study protocol</w:t>
            </w:r>
          </w:p>
        </w:tc>
        <w:tc>
          <w:tcPr>
            <w:tcW w:type="dxa" w:w="2160"/>
            <w:tcW w:type="dxa" w:w="3058"/>
            <w:tcBorders>
              <w:left w:val="nil"/>
              <w:right w:val="nil"/>
              <w:top w:val="nil"/>
              <w:bottom w:val="nil"/>
            </w:tcBorders>
          </w:tcPr>
          <w:p>
            <w:pPr>
              <w:spacing w:before="40" w:after="40" w:line="240" w:lineRule="auto"/>
            </w:pPr>
            <w:r>
              <w:rPr>
                <w:sz w:val="18"/>
              </w:rPr>
              <w:t>Discrimination apparatus, decision sequence, and process tracing tests documented</w:t>
            </w:r>
          </w:p>
        </w:tc>
      </w:tr>
      <w:tr>
        <w:tc>
          <w:tcPr>
            <w:tcW w:type="dxa" w:w="2160"/>
            <w:tcW w:type="dxa" w:w="1529"/>
            <w:tcBorders>
              <w:left w:val="nil"/>
              <w:right w:val="nil"/>
              <w:top w:val="nil"/>
              <w:bottom w:val="single" w:sz="8" w:space="0" w:color="000000"/>
            </w:tcBorders>
          </w:tcPr>
          <w:p>
            <w:pPr>
              <w:spacing w:before="40" w:after="40" w:line="240" w:lineRule="auto"/>
            </w:pPr>
            <w:r>
              <w:rPr>
                <w:sz w:val="18"/>
              </w:rPr>
            </w:r>
          </w:p>
        </w:tc>
        <w:tc>
          <w:tcPr>
            <w:tcW w:type="dxa" w:w="2160"/>
            <w:tcW w:type="dxa" w:w="2066"/>
            <w:tcBorders>
              <w:left w:val="nil"/>
              <w:right w:val="nil"/>
              <w:top w:val="nil"/>
              <w:bottom w:val="single" w:sz="8" w:space="0" w:color="000000"/>
            </w:tcBorders>
          </w:tcPr>
          <w:p>
            <w:pPr>
              <w:spacing w:before="40" w:after="40" w:line="240" w:lineRule="auto"/>
            </w:pPr>
            <w:r>
              <w:rPr>
                <w:sz w:val="18"/>
              </w:rPr>
            </w:r>
          </w:p>
        </w:tc>
        <w:tc>
          <w:tcPr>
            <w:tcW w:type="dxa" w:w="2160"/>
            <w:tcW w:type="dxa" w:w="1987"/>
            <w:tcBorders>
              <w:left w:val="nil"/>
              <w:right w:val="nil"/>
              <w:top w:val="nil"/>
              <w:bottom w:val="single" w:sz="8" w:space="0" w:color="000000"/>
            </w:tcBorders>
          </w:tcPr>
          <w:p>
            <w:pPr>
              <w:spacing w:before="40" w:after="40" w:line="240" w:lineRule="auto"/>
            </w:pPr>
            <w:r>
              <w:rPr>
                <w:sz w:val="18"/>
              </w:rPr>
              <w:t>Case study database</w:t>
            </w:r>
          </w:p>
        </w:tc>
        <w:tc>
          <w:tcPr>
            <w:tcW w:type="dxa" w:w="2160"/>
            <w:tcW w:type="dxa" w:w="3058"/>
            <w:tcBorders>
              <w:left w:val="nil"/>
              <w:right w:val="nil"/>
              <w:top w:val="nil"/>
              <w:bottom w:val="single" w:sz="8" w:space="0" w:color="000000"/>
            </w:tcBorders>
          </w:tcPr>
          <w:p>
            <w:pPr>
              <w:spacing w:before="40" w:after="40" w:line="240" w:lineRule="auto"/>
            </w:pPr>
            <w:r>
              <w:rPr>
                <w:sz w:val="18"/>
              </w:rPr>
              <w:t>Organized evidence repository with traceable analytical chain</w:t>
            </w:r>
          </w:p>
        </w:tc>
      </w:tr>
    </w:tbl>
    <w:p>
      <w:pPr>
        <w:pStyle w:val="BodyText"/>
      </w:pPr>
      <w:r>
        <w:t xml:space="preserve">Because this is a case-study design, the findings generalize to theoretical propositions through analytic generalization rather than to all IOC divestments through statistical generalization (Yin, 2009). They apply most directly to IOC-to-domestic-operator asset transfers in petroleum-producing developing countries where the institutional design of the divestment process does not include mandatory capability assessment. The sample is not statistically representative. The extent to which the findings apply to other extractive industries, other countries, or transactions with different institutional structures is an empirical question the concluding chapter addresses.</w:t>
      </w:r>
    </w:p>
    <w:p>
      <w:pPr>
        <w:pStyle w:val="BodyText"/>
      </w:pPr>
      <w:r>
        <w:t xml:space="preserve">The internal organizational decisions made during and after divestment transactions are not fully observable from outside the organization. What occurred inside acquiring organizations is reconstructed through inference from observable indicators and, where available, from participant testimony. Triangulation across source types reduces but does not eliminate the risk that the reconstruction diverges from what actually occurred. The knowledge-inheritance/organizational-quality confound discussed in Section 2.3.5 remains a limitation; where neither within-operator temporal comparison nor cross-case control resolves it, the analysis states the limitation.</w:t>
      </w:r>
    </w:p>
    <w:p>
      <w:pPr>
        <w:pStyle w:val="BodyText"/>
      </w:pPr>
      <w:r>
        <w:t xml:space="preserve">Some regulators and operators may be unwilling to discuss specific incidents due to political sensitivity, ongoing litigation, or professional constraints, which primarily affects the richness of participant testimony. Flaring data may be incomplete for operators without continuous monitoring systems; the analysis uses the best available data from NOSDRA and the World Bank Global Gas Flaring Tracker and notes gaps where they exist. The quantitative capability proxies (flare intensity, spill frequency, lost-time injury rates) are outcome indicators from which capability is inferred, not direct measures. These comparisons do not control for asset age, terrain complexity, or reservoir characteristics.</w:t>
      </w:r>
    </w:p>
    <w:p>
      <w:pPr>
        <w:pStyle w:val="BodyText"/>
      </w:pPr>
      <w:r>
        <w:t xml:space="preserve">The discrimination apparatus tests five specified explanations and examines coordination failure as an observable feature of all unsuccessful cases. If the evidence contains patterns that none of these accounts for, the methodology can detect unexplained variance but cannot systematically characterize the mechanism producing it. The Renaissance transaction provides a design contrast with only a short period of post-completion data, insufficient to assess medium-term asset integrity outcomes. Renaissance is not weighted equally with the primary cases.</w:t>
      </w:r>
    </w:p>
    <w:p>
      <w:pPr>
        <w:pStyle w:val="BodyText"/>
      </w:pPr>
      <w:r>
        <w:t xml:space="preserve">The apparatus constrains the range of permissible interpretations, but it does not eliminate researcher judgment. Falsification tests and temporal preconditions are governed by pre-specified rules that leave little room for discretion. Assessments of relative explanatory weight among surviving explanations require guided judgment within the framework’s categories. The case study database and documented chain of evidence make these judgments transparent and assessable, but they do not make them mechanical.</w:t>
      </w:r>
    </w:p>
    <w:bookmarkEnd w:id="26"/>
    <w:bookmarkEnd w:id="27"/>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imes New Roman" w:asciiTheme="majorHAnsi" w:cstheme="majorBidi" w:eastAsiaTheme="majorEastAsia" w:hAnsi="Times New Roman"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imes New Roman" w:asciiTheme="majorHAnsi" w:cstheme="majorBidi" w:eastAsiaTheme="majorEastAsia" w:hAnsi="Times New Roman"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imes New Roman" w:asciiTheme="majorHAnsi" w:cstheme="majorBidi" w:eastAsiaTheme="majorEastAsia" w:hAnsi="Times New Roman"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imes New Roman" w:asciiTheme="majorHAnsi" w:cstheme="majorBidi" w:eastAsiaTheme="majorEastAsia" w:hAnsi="Times New Roman"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imes New Roman" w:asciiTheme="majorHAnsi" w:cstheme="majorBidi" w:eastAsiaTheme="majorEastAsia" w:hAnsi="Times New Roman"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2026-06-22T17:23:14Z</dcterms:created>
  <dcterms:modified xsi:type="dcterms:W3CDTF">2026-06-22T17:23:14Z</dcterms:modified>
</cp:coreProperties>
</file>

<file path=docProps/custom.xml><?xml version="1.0" encoding="utf-8"?>
<Properties xmlns="http://schemas.openxmlformats.org/officeDocument/2006/custom-properties" xmlns:vt="http://schemas.openxmlformats.org/officeDocument/2006/docPropsVTypes"/>
</file>