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hapter-6.-conclusions"/>
    <w:p>
      <w:pPr>
        <w:pStyle w:val="Heading1"/>
      </w:pPr>
      <w:r>
        <w:t xml:space="preserve">Chapter 6. Conclusions</w:t>
      </w:r>
    </w:p>
    <w:p>
      <w:pPr>
        <w:pStyle w:val="FirstParagraph"/>
      </w:pPr>
      <w:r>
        <w:t xml:space="preserve">The question was why the transfer of these assets from international to indigenous operators produced such different results, and what should follow from it. The answer is that capability-related factors best account for the differences, which do not track the capital each acquirer raised, the fiscal terms it faced, or the regulatory regime it worked under. The gap that produces this divergence is built into the structure of the transfer rather than into any single operator. What the evidence warrants is a mandatory, asset-specific assurance mechanism for high-risk producing-asset transfers.</w:t>
      </w:r>
    </w:p>
    <w:p>
      <w:pPr>
        <w:pStyle w:val="BodyText"/>
      </w:pPr>
      <w:r>
        <w:t xml:space="preserve">Behind that answer is a particular way of seeing the asset. A producing field is a sociotechnical system, the physical facilities and the operating organization that runs them working as one, and a divestment that conveys the facilities while leaving the organization behind separates the system from the capability that kept it safe and productive. In those terms, the cases reveal a control failure in how the transfer is built, one whose cost falls largely outside the sale (Figure 2.1). The framework developed in Chapter 5 is a control structure designed to close that loop.</w:t>
      </w:r>
    </w:p>
    <w:p>
      <w:pPr>
        <w:pStyle w:val="BodyText"/>
      </w:pPr>
      <w:r>
        <w:t xml:space="preserve">The answers to the research questions come first (Section 6.1), followed by why the gap calls for a mandatory rather than a voluntary response (Section 6.2). The recommendations that follow from it are set out next (Section 6.3), then the limits of the findings (Section 6.4) and the boundaries of their generalizability (Section 6.5). The contribution is stated last (Section 6.6).</w:t>
      </w:r>
    </w:p>
    <w:bookmarkStart w:id="20" w:name="answering-the-research-questions"/>
    <w:p>
      <w:pPr>
        <w:pStyle w:val="Heading2"/>
      </w:pPr>
      <w:r>
        <w:t xml:space="preserve">6.1 Answering the Research Questions</w:t>
      </w:r>
    </w:p>
    <w:p>
      <w:pPr>
        <w:pStyle w:val="FirstParagraph"/>
      </w:pPr>
      <w:r>
        <w:t xml:space="preserve">This thesis opened with three questions, and the case analysis answers each (Chapter 4). First, the differentiated outcomes are most consistent with capability-related factors: the acquirers separated according to the operating capability each inherited, brought, contracted, or embedded before performance depended on it. Second, the evidence contradicts fiscal regime effects for these cases and rejects capital constraints as sufficient for the funded operators, finds regulatory inadequacy and political economy each enabling but insufficient on its own. It leaves capability-related factors as the explanation most consistent with the integrity outcomes. Third, because the explanation is capability-related, the remedy is a three-actor Capability Assurance Framework that makes operating capability observable, testable, and enforceable at the point of transfer, with the seller disclosing requirements, the buyer demonstrating absorption, and the regulator verifying both.</w:t>
      </w:r>
    </w:p>
    <w:p>
      <w:pPr>
        <w:pStyle w:val="BodyText"/>
      </w:pPr>
      <w:r>
        <w:t xml:space="preserve">Across the two outcome dimensions, production performance and operational integrity, the acquirers did not converge: they separated into distinct trajectory groups, and the separation lines up most closely with the operating capability each acquirer inherited, brought, contracted, or embedded before performance depended on it. The separation does not track the capital each raised, the fiscal terms each faced, or the regulatory regime each worked under.</w:t>
      </w:r>
    </w:p>
    <w:p>
      <w:pPr>
        <w:pStyle w:val="BodyText"/>
      </w:pPr>
      <w:r>
        <w:t xml:space="preserve">Capital constraints, the common explanation, are rejected as sufficient. On the OML 29 critical experiment, the operator that suffered the most serious integrity failure had funded and delivered production growth beforehand, and an operator able to raise and deploy capital for production cannot have its later integrity failure explained by capital scarcity alone. A separate body of evidence points to capability: no standing well-control contract or matching contingency plan when the Santa Barbara well blew out, specialist intervention engaged only after the fact, and a suspended, undecommissioned well the operator was unready to control. The pattern points to capability, with the national spill agency recording that the event exceeded its internal capacity (Section 4.3). The two readings rest on different evidence.</w:t>
      </w:r>
    </w:p>
    <w:p>
      <w:pPr>
        <w:pStyle w:val="BodyText"/>
      </w:pPr>
      <w:r>
        <w:t xml:space="preserve">Regulatory inadequacy is an enabling condition, not the primary driver. The test is differentiation: were a weak regime the cause, acquirers under it would perform alike, yet under the same pre-2024 regime that governed Aiteo, Seplat and the HEOSL operatorship sustained production without an equivalent integrity failure (Section 4.5). A regime common to all cannot explain outcomes that varied sharply among them; what it does is let the consequences of a capability shortfall go uncaught: it is the setting in which a capability shortfall produces harm, while the shortfall itself originates in the transfer.</w:t>
      </w:r>
    </w:p>
    <w:p>
      <w:pPr>
        <w:pStyle w:val="BodyText"/>
      </w:pPr>
      <w:r>
        <w:t xml:space="preserve">Fiscal regime effects are rejected on timing: every primary transaction, and the capability gaps that produced the failures, predate the Petroleum Industry Act of August 2021, and the divergence under identical pre-Act terms reinforces the point; whether the Act shapes future transactions is left open. Political economy explains which firms acquired and kept operatorship, and the production gains that connections secure by suppressing theft, but it does not reach the case-level capability to sustain integrity or contain a well-control crisis. Why two firms on comparable terms then diverged in whether they could run their assets safely is a question it leaves open.</w:t>
      </w:r>
    </w:p>
    <w:p>
      <w:pPr>
        <w:pStyle w:val="BodyText"/>
      </w:pPr>
      <w:r>
        <w:t xml:space="preserve">The within-asset comparison on OML 30 is the strongest evidence against the obvious competing reading, that outcomes track asset quality. Operatorship passed from NPDC to HEOSL on the same wells, reservoirs, and facilities, and performance improved under the new operator, which is hard to reconcile with an asset-quality account. The population-level evidence, and the marginal-field program of 2003 to 2020 in which a majority of licensed operators also failed to sustain their assets, are consistent corroborating context that does not, by itself, carry the verdicts.</w:t>
      </w:r>
    </w:p>
    <w:p>
      <w:pPr>
        <w:pStyle w:val="BodyText"/>
      </w:pPr>
      <w:r>
        <w:t xml:space="preserve">The five explanations resolve as follows. Capital constraints are rejected as sufficient; fiscal regime effects are rejected for the cases examined, the transactions and capability gaps predating the PIA. Regulatory inadequacy is an enabling condition, insufficient on its own. Political economy accounts for commercial survival and continued participation but is insufficient on its own for operational integrity. Capability-related factors are most consistent with the combined pattern, with the OML 30 comparison strengthening that reading against an asset-quality explanation. That answers the first two research questions and grounds the design argument that follows.</w:t>
      </w:r>
    </w:p>
    <w:bookmarkEnd w:id="20"/>
    <w:bookmarkStart w:id="21" w:name="X96ead7df42b1a8ed27f46b1a411414484abdd1d"/>
    <w:p>
      <w:pPr>
        <w:pStyle w:val="Heading2"/>
      </w:pPr>
      <w:r>
        <w:t xml:space="preserve">6.2 The Structural Case for Mandatory Intervention</w:t>
      </w:r>
    </w:p>
    <w:p>
      <w:pPr>
        <w:pStyle w:val="FirstParagraph"/>
      </w:pPr>
      <w:r>
        <w:t xml:space="preserve">The differentiated outcomes are not reducible to individual mismanagement, to be corrected one operator at a time. They follow from how the transaction itself is built. At the point of divestment the information about an asset’s embedded operating capability sits with the seller, the capacity to absorb that capability sits with the buyer, and the full social cost of a capability shortfall falls on neither. The gap is structural, a control failure in the design of the transfer, not a defect peculiar to any one acquirer.</w:t>
      </w:r>
    </w:p>
    <w:p>
      <w:pPr>
        <w:pStyle w:val="BodyText"/>
      </w:pPr>
      <w:r>
        <w:t xml:space="preserve">Three features of the transfer make it so, each set out in the economics of the transaction (Section 2.5). Information asymmetry comes first. The seller knows what its operating organization does to hold an aging asset within safe bounds; a buyer cannot read that from a data room, and the regulatory screen at consent does not reach the asset-specific capability at issue. The party that knows the most about the embedded capability has little incentive to surface it, since fuller disclosure can lower the price, slow the close, or create transition obligations, and the party that carries the operational risk cannot verify what it is buying. Absorptive capacity is the second, and it sits on the buyer’s side. A seller willing to hand over everything it knows still cannot make that knowledge land in an organization without the prior expertise to receive and embed it. The capability has to be present before performance depends on it, which is the line the cases divided along. The third is the externality. When an operator cannot contain a well-control event or sustain integrity, the cost falls on host communities and on the Nigerian state, parties outside the sale and absent from its terms.</w:t>
      </w:r>
    </w:p>
    <w:p>
      <w:pPr>
        <w:pStyle w:val="BodyText"/>
      </w:pPr>
      <w:r>
        <w:t xml:space="preserve">These three features have one consequence in common. Voluntary transfer cannot solve a problem whose critical information is held by the seller, whose absorption depends on the buyer, and whose failure costs are borne by communities and the state. Voluntary instruments do not escape it. The industry’s operating and process-safety standards and the civil-society National Principles for Responsible Petroleum Industry Divestment describe the right content, but they attach no consequence to ignoring it and leave the underlying incentives untouched (Section 5.5.3). Each describes what a responsible transfer should look like. None compels it.</w:t>
      </w:r>
    </w:p>
    <w:p>
      <w:pPr>
        <w:pStyle w:val="BodyText"/>
      </w:pPr>
      <w:r>
        <w:t xml:space="preserve">The instruments that do carry legal force have a different weakness: the ones meant to protect the exposed parties are funded out of the operations that fail. The Host Communities Development Trust is funded by a contribution equal to three percent of the operator’s actual annual operating expenditure (PIA Section 240). When an operator falters and operations contract, that contribution contracts with them, leaving the fund thinnest when the hazard is greatest. The decommissioning obligation runs the same way from the other direction. Where the Decommissioning and Abandonment Fund is left to accrue across the producing life of the asset rather than secured at transfer (Sections 232 and 233), an operator that fails early has set aside only a fraction of what closing its wells will cost. Both mechanisms are necessary, and each delivers least when it is needed most.</w:t>
      </w:r>
    </w:p>
    <w:p>
      <w:pPr>
        <w:pStyle w:val="BodyText"/>
      </w:pPr>
      <w:r>
        <w:t xml:space="preserve">The structure points to a single remedy, security taken at the front of the transaction rather than left to accrue. The Act already provides an analogous structure: its environmental remediation provision requires a financial contribution the Commission can reach (Section 103), fixed at the point of operation rather than dependent on the operator’s later solvency. Extending that logic to operating capability and to community exposure is the work of the recommendation developed below. The deeper reason the transaction cannot correct itself is that the parties who bear the residual cost are not at the table. Host communities and the state cannot bargain ex ante over terms they never see, so the externality cannot be priced into a private deal and must be placed there by the body that licenses the transfer.</w:t>
      </w:r>
    </w:p>
    <w:p>
      <w:pPr>
        <w:pStyle w:val="BodyText"/>
      </w:pPr>
      <w:r>
        <w:t xml:space="preserve">The third research question asked what institutional design follows from these findings, and how responsibility should be allocated across the seller, the buyer, and the regulator. A voluntary framework would suffice only if market forces or the existing rules already secured capability transfer. They do not. Outcomes diverged sharply under a common regulatory regime, the transacting parties hold neither the information nor the incentive to close the gap on their own, and the full social cost of failure falls outside the sale. The rules already in force do not reach the asset-specific operating-capability question at consent. The Commission’s 2024 reforms created a technical-capacity route, but it is assessed at the corporate level, and a corporate screen can pass an operator that has not demonstrated the asset-specific crisis readiness the cases show to be decisive. The provisions that reach past consent are triggered by failure rather than preventing it. What the evidence warrants is a mandatory, asset-specific assurance mechanism for high-risk producing-asset transfers, the control structure designed to close the severed loop (Figures 5.1 and 5.2), allocating disclosure, demonstrated absorption, and verification across the seller, the buyer, and the regulator.</w:t>
      </w:r>
    </w:p>
    <w:bookmarkEnd w:id="21"/>
    <w:bookmarkStart w:id="22" w:name="prioritized-recommendations"/>
    <w:p>
      <w:pPr>
        <w:pStyle w:val="Heading2"/>
      </w:pPr>
      <w:r>
        <w:t xml:space="preserve">6.3 Prioritized Recommendations</w:t>
      </w:r>
    </w:p>
    <w:p>
      <w:pPr>
        <w:pStyle w:val="FirstParagraph"/>
      </w:pPr>
      <w:r>
        <w:t xml:space="preserve">The full framework, with its three roles, five lifecycle phases, and risk tiers, is developed in Chapter 5. For implementation, six recommendations follow from it, ordered from before consent to after close, each re-specifying an instrument the Nigerian regime already contains rather than adding a new one. They carry the framework’s disclosure floor and its five structural levers (Section 5.6.3) into instrument form. Together they put the framework’s three roles into operation: what the seller must disclose, what the buyer must demonstrate, and what the regulator must verify and enforce. They are risk-tiered: a disclosure, data, and continuity floor applies to every transfer, while staged operatorship, technical-operator coverage, and intensified post-transfer verification apply to the highest-risk assets and lowest-capability buyers. Disclosure and continuity come first, because the recommendations that follow depend on them.</w:t>
      </w:r>
    </w:p>
    <w:p>
      <w:pPr>
        <w:numPr>
          <w:ilvl w:val="0"/>
          <w:numId w:val="1001"/>
        </w:numPr>
      </w:pPr>
      <w:r>
        <w:t xml:space="preserve">A regulator approving the transfer of a high-risk producing asset should require, as a condition of consent, that the seller disclose the asset’s condition and the operating requirements it imposes, and that the buyer demonstrate the operating capability and crisis-response readiness to meet them. This follows from the documented condition that the information determining whether an aging asset can be held within safe bounds sits with the seller and cannot be read from a data room. In Nigeria the requirement attaches to the ministerial consent already mandatory for assignment of an upstream license or lease (PIA Section 95) and to the due-diligence requirement under the Nigeria Upstream Petroleum (Assignment of Interest) Regulations 2024 (Reg. 7). It makes asset-specific disclosure and a demonstrated well-control and crisis-response capability explicit conditions of consent. Neither is left to the buyer’s discretion after close. Aiteo’s transfer closed with no documented well-control contingency for OML 29 and no standing well-control contract, the gap that surfaced in the Santa Barbara blowout (Section 4.3). A disclosure-and-readiness condition at consent is the point at which that gap is still visible and correctable.</w:t>
      </w:r>
    </w:p>
    <w:p>
      <w:pPr>
        <w:numPr>
          <w:ilvl w:val="0"/>
          <w:numId w:val="1001"/>
        </w:numPr>
      </w:pPr>
      <w:r>
        <w:t xml:space="preserve">The transfer should carry binding terms that keep an aging asset’s operating knowledge available to the buyer through and beyond the handover. That knowledge holds the asset within safe bounds, and it resides in the people who hold it, the procedures that codify it, and the working practices through which it is applied. Hardware transfers at completion; the embedded operating knowledge does not, and tacit knowledge in particular leaves with its holders. Nigeria already requires a succession plan and a multi-year understudy of incumbent expertise under the Nigerian Oil and Gas Industry Content Development Act (NOGICD, Section 31). That mechanism was built for expatriate-to-Nigerian succession. Re-specified toward seller-to-buyer transfer at divestment, and written into the assignment agreement under Section 95 as binding terms for retention, secondment, data, and understudy rather than negotiated ones, it would function as an obligation to carry the operating knowledge across the change of hands. The HEOSL recovery on OML 30, where a technical operator held that knowledge through the transition, shows what such terms are meant to secure.</w:t>
      </w:r>
    </w:p>
    <w:p>
      <w:pPr>
        <w:numPr>
          <w:ilvl w:val="0"/>
          <w:numId w:val="1001"/>
        </w:numPr>
      </w:pPr>
      <w:r>
        <w:t xml:space="preserve">Consent should depend on the buyer demonstrating the organizational capacity to receive and embed the disclosed capability, not on financial and legal standing alone. Disclosed knowledge cannot land in an organization that lacks the prior expertise to absorb it, which is the line the cases divided along. This re-specifies the technical-capacity criterion already within the consent assessment (Section 95; Reg. 7), raising it from a corporate-level screen to an asset-specific demonstration. For Tier 1 assets, the highest-risk tier, the demonstration should normally include a qualified technical operator with a record on comparable operations, drawing on the technology-transfer and partnering route the content law already contemplates (NOGICD Sections 43-47). In Aiteo, the leadership-background evidence pointed to downstream trading rather than comparable upstream operating depth. Seplat brought that depth, through its founding team and its technical partnership with Maurel et Prom. That contrast is the case basis for testing absorptive capacity before consent, not discovering its absence after.</w:t>
      </w:r>
    </w:p>
    <w:p>
      <w:pPr>
        <w:numPr>
          <w:ilvl w:val="0"/>
          <w:numId w:val="1001"/>
        </w:numPr>
      </w:pPr>
      <w:r>
        <w:t xml:space="preserve">For high-risk transfers, operatorship should pass in stages rather than at a single completion date, with critical operating functions passing only after the buyer has demonstrated readiness for them. Time-bounded transition support, technical-operator coverage, or secondment holds the asset within safe bounds during the transition, without leaving the seller indefinitely responsible for an asset it has sold. An abrupt handover concentrates the capability discontinuity at the moment of greatest exposure, before the buyer has shown it can run the asset. In Nigeria staged operatorship is a condition the Commission can attach to consent under Section 95, supervised under its standing authority to monitor and enforce the terms of leases and licenses (Section 7(d)). It requires no new instrument. The phased technical-operator arrangement through which OML 30 was returned to stable operation is the design pattern. The single-date handover at Aiteo, into an organization without demonstrated upstream operating depth, is the failure that staged operatorship is built to prevent.</w:t>
      </w:r>
    </w:p>
    <w:p>
      <w:pPr>
        <w:numPr>
          <w:ilvl w:val="0"/>
          <w:numId w:val="1001"/>
        </w:numPr>
      </w:pPr>
      <w:r>
        <w:t xml:space="preserve">The regulator should verify operating capability on a continuing basis after transfer, prompted by rule-based triggers, production or integrity deviations, missed maintenance intervals, the loss of key operating personnel, rather than by discretion alone. A capability shortfall invisible at consent becomes visible only in operation, and an unmonitored latent exposure is the most dangerous kind. Nigeria’s regulator already holds the powers this requires: to monitor and enforce compliance with the terms of leases and licenses (Section 7(d)), and to carry out audits and investigations of licensees (Section 7(g)), with administrative penalties available for contravention (Section 231). Binding those powers to defined triggers connects an integrity finding to a graduated, pre-defined consequence rather than to discretion, subject to the operator’s opportunity to respond. The powers already exist; the triggers are what is missing. The well left suspended and undecommissioned on OML 29 from 2015, unmonitored until it failed in 2021 (Section 4.3), is the exposure continuing verification is built to catch.</w:t>
      </w:r>
    </w:p>
    <w:p>
      <w:pPr>
        <w:numPr>
          <w:ilvl w:val="0"/>
          <w:numId w:val="1001"/>
        </w:numPr>
      </w:pPr>
      <w:r>
        <w:t xml:space="preserve">The financial security for decommissioning and for community exposure should be taken at the point of transfer rather than allowed to accrue out of the operations that may fail. An instrument funded from ongoing operations delivers least when the operator falters, which is the moment it is most needed. The remedy is to secure it at consent. The amount should scale to the asset’s risk and inherited liabilities. This removes the dependency the existing instruments carry, the Host Communities Development Trust’s three-percent-of-operating-expenditure base (Section 240) and the decommissioning fund’s accrual across the producing life of the asset (Sections 232 and 233). It extends the upfront structure the Act already uses for the environmental remediation contribution (Section 103) to decommissioning security and community-readiness provisioning fixed at consent. The undecommissioned well on OML 29 and the 41 communities exposed by the blowout are the costs this provisioning is meant to cover before, not after, an operator’s capacity to pay has eroded.</w:t>
      </w:r>
    </w:p>
    <w:p>
      <w:pPr>
        <w:pStyle w:val="FirstParagraph"/>
      </w:pPr>
      <w:r>
        <w:t xml:space="preserve">The six divide by where they attach. Recommendations 1 through 4 attach to the consent gate, the one-time approval at transfer. They therefore apply only to transfers not yet completed, the divestments still to come in a wave of IOC onshore exits that is not finished, and cannot be re-run on a transaction already closed. The consent-stage screening they require is not hypothetical: the Commission applied a version of it when it initially withheld consent for the Shell-to-Renaissance transfer in 2024 on the ground that the consortium had not demonstrated the requisite technical capacity. The Commission granted consent later that year (The Energy Year, 2025; BusinessDay, 2025). Recommendations 5 and 6 attach to powers and obligations that bind every current operator continuously: the Commission’s standing supervisory powers (Sections 7(d) and 7(g)) and the standing fund obligations under Sections 232-233 and 103. They therefore reach the assets already transferred, Aiteo and Eroton included. Applying them to current operators enforces standing obligations rather than reopening closed consent decisions. It would not re-run the original transfer; it would apply continuing powers and standing obligations to operating risks that are still live. That is where the exposure now sits.</w:t>
      </w:r>
    </w:p>
    <w:p>
      <w:pPr>
        <w:pStyle w:val="BodyText"/>
      </w:pPr>
      <w:r>
        <w:t xml:space="preserve">None of this builds a second regulatory track alongside the one the Commission introduced in 2024. That route assesses capacity at the corporate level; the recommendations re-specify the same consent gate and the same standing powers to the asset-specific operating capability and crisis readiness the cases show to be decisive. Nor do they depend on settling whether a given operator’s capability came from what it inherited at the transfer or from its own organizational quality. Each tests for demonstrated operating capability directly, whatever its source, a limit taken up in the next section (Section 6.4). These measures work as a set, not a menu. For a new transfer, requiring disclosure at consent without the matching post-transfer verification would let a shortfall that clears the gate go uncaught, so the consent-stage and post-transfer measures belong together rather than sequenced years apart. What the six do, operating together, is make the operating capability an asset requires observable before consent, testable at the gate, and enforceable after transfer. They are warranted by the conditions the cases document, not by evidence of their effect, which no implementation has yet produced; the claim is that they make capability assurable, not that they will prevent the next incident or raise national production.</w:t>
      </w:r>
    </w:p>
    <w:bookmarkEnd w:id="22"/>
    <w:bookmarkStart w:id="23" w:name="limitations"/>
    <w:p>
      <w:pPr>
        <w:pStyle w:val="Heading2"/>
      </w:pPr>
      <w:r>
        <w:t xml:space="preserve">6.4 Limitations</w:t>
      </w:r>
    </w:p>
    <w:p>
      <w:pPr>
        <w:pStyle w:val="FirstParagraph"/>
      </w:pPr>
      <w:r>
        <w:t xml:space="preserve">The findings carry weight within stated bounds, and naming those bounds is part of stating the findings accurately. Each limitation below constrains the scope of a particular claim, and none overturns the central finding.</w:t>
      </w:r>
    </w:p>
    <w:p>
      <w:pPr>
        <w:pStyle w:val="BodyText"/>
      </w:pPr>
      <w:r>
        <w:t xml:space="preserve">The deepest of these concerns the regulator. Verification rests with the same Commission whose limited reach was an enabling condition of the failures (Section 6.1), which invites the objection that an institution unable to catch the old shortfall cannot be relied on to operate the new safeguard. The design depends less on regulatory judgment than the status quo does. It re-specifies the technical-capacity screen from corporate-level standing to asset-specific readiness, shifts the burden of proof to the buyer to demonstrate capability, and ties consequences to rule-based triggers rather than to discretion. The parts most exposed to weak capacity, site visits and post-transfer audits, can be risk-triggered rather than applied to every transfer, while disclosure and transfer-agreement content can be enforced as documentary requirements. The limit is real even so. If the Commission lacks the capacity, independence, data access, or political backing to apply the design, the framework cannot function as intended. The framework and the building of regulatory capacity are jointly necessary, not substitutes, and a phased adoption that begins with disclosure and transfer terms and builds toward full verification is the realistic path in a constrained environment.</w:t>
      </w:r>
    </w:p>
    <w:p>
      <w:pPr>
        <w:pStyle w:val="BodyText"/>
      </w:pPr>
      <w:r>
        <w:t xml:space="preserve">A second limit concerns the source of the capability the cases turn on. The evidence cannot fully separate whether a given operator’s capability came from what it inherited at the transfer or from organizational quality it already held, so the causal attribution to the inheritance itself is bounded. The prescription does not depend on settling that attribution. Each recommendation tests for demonstrated operating capability at the point of transfer, whatever its origin (Section 6.3), so the confound limits what can be claimed about cause without weakening what the framework requires.</w:t>
      </w:r>
    </w:p>
    <w:p>
      <w:pPr>
        <w:pStyle w:val="BodyText"/>
      </w:pPr>
      <w:r>
        <w:t xml:space="preserve">A related reading attributes the divergence to the assets rather than to the operators, setting Aiteo’s failure on a large and difficult asset against acquirers that performed on easier ones. The within-asset comparison on OML 30 is the direct answer (Section 6.1): the operator changed while the asset was held fixed, and the outcome changed with it. Where that holds, the asset-quality explanation is substantially weakened, and the operator-capability finding stands.</w:t>
      </w:r>
    </w:p>
    <w:p>
      <w:pPr>
        <w:pStyle w:val="BodyText"/>
      </w:pPr>
      <w:r>
        <w:t xml:space="preserve">The framework has not been implemented, and no implementation data yet show that it improves performance, prevents incidents, or raises production. The claim made for it is therefore the bounded one: it is warranted by the regularities documented across the cases and by the design logic, not proven by results it has yet to produce. What the absence of outcome data constrains is any claim about effect. It does not weaken the warrant, which rests on harms that are documented, that fall on parties outside the sale, and that are difficult to reverse once they occur (Section 6.2). Action is warranted under those conditions even though the framework remains untested as an intervention. What the framework changes, independently of any later results, is that the capability the cases tie to failure must be shown at the point of transfer rather than assumed.</w:t>
      </w:r>
    </w:p>
    <w:p>
      <w:pPr>
        <w:pStyle w:val="BodyText"/>
      </w:pPr>
      <w:r>
        <w:t xml:space="preserve">Verification reaches the capability that is observable, demonstrable, and verifiable. The non-contractible tacit knowledge that no instrument can compel a seller to surrender stays with the individuals and teams who hold it. For that reason the recommendations secure the conditions under which knowledge transfers, retention, secondment, and a documented handover, rather than the knowledge itself. The boundary limits what verification can guarantee. It does not remove the value of verifying what is observable, since several of the capabilities the cases turned on, crisis-readiness arrangements, technical-operator depth, and continuity of operating knowledge, were demonstrable before close.</w:t>
      </w:r>
    </w:p>
    <w:p>
      <w:pPr>
        <w:pStyle w:val="BodyText"/>
      </w:pPr>
      <w:r>
        <w:t xml:space="preserve">The evidence is a set of six cases built around a single critical experiment with cross-case validation (Chapter 3). A design of this kind can corroborate an explanation and show it to be plausible across the cases examined; it cannot establish that no counter-example exists, and it does not prove a universal law. The finding is therefore stated in calibrated form: capability-related factors are the explanation most consistent with the observed pattern, not a demonstrated universal regularity. What these cases support beyond their own setting is taken up next (Section 6.5).</w:t>
      </w:r>
    </w:p>
    <w:p>
      <w:pPr>
        <w:pStyle w:val="BodyText"/>
      </w:pPr>
      <w:r>
        <w:t xml:space="preserve">The reach of the consent-stage recommendations into transactions already closed is partial by design. Because they cannot be applied to a divestment that has already completed (Section 6.3), their effect is bounded to pending and future transfers, which limits what they can change without bearing on the diagnosis they follow from. The standing-power recommendations do reach the assets already transferred, so the framework is not inert for the operators now holding them.</w:t>
      </w:r>
    </w:p>
    <w:p>
      <w:pPr>
        <w:pStyle w:val="BodyText"/>
      </w:pPr>
      <w:r>
        <w:t xml:space="preserve">These limits together fix where the thesis’s claims stop. They bound the causal attribution, the outcome claim, the reach of verification, and the generality of the result, but they do not unsettle the diagnostic finding or the design warrant. What stands is the case that mandatory, asset-specific assurance is warranted for high-risk producing-asset transfers under the conditions documented here.</w:t>
      </w:r>
    </w:p>
    <w:bookmarkEnd w:id="23"/>
    <w:bookmarkStart w:id="24" w:name="Xa5db20572617ad7c9c964952325339464dc93c7"/>
    <w:p>
      <w:pPr>
        <w:pStyle w:val="Heading2"/>
      </w:pPr>
      <w:r>
        <w:t xml:space="preserve">6.5 Boundaries of Generalizability and Future Research</w:t>
      </w:r>
    </w:p>
    <w:p>
      <w:pPr>
        <w:pStyle w:val="FirstParagraph"/>
      </w:pPr>
      <w:r>
        <w:t xml:space="preserve">How far these findings reach is a question of analytic transferability, not demonstrated generalizability. The framework was developed on Nigerian divestment cases between 2010 and 2024. It is calibrated first to Nigeria and, analytically, to the wider institutional context set out in Objective 3: petroleum-producing developing countries in which a wave of divestment meets constrained regulatory capacity and an externality placing the cost of failure on host communities and the state. To other settings that share those conditions the framework may transfer, subject to local validation. The basis is analytic rather than statistical, because the cases were chosen to test competing explanations rather than to represent a population (Chapter 3).</w:t>
      </w:r>
    </w:p>
    <w:p>
      <w:pPr>
        <w:pStyle w:val="BodyText"/>
      </w:pPr>
      <w:r>
        <w:t xml:space="preserve">The comparator regimes do not validate the framework, but they show that its core move, requiring capability to be shown before and after a transfer rather than merely declared, is established practice in mature petroleum jurisdictions, not an invention of this thesis. The United Kingdom requires the buyer and seller to file a capability pack documenting the buyer’s financial and technical capability before it consents to a license assignment. It also treats the fitness of those who control the licensee as a continuing criterion, backed by a standing power to require a change of control or to revoke the license. Norway prequalifies operators before entry and requires a competent in-country organization. Alberta assesses both parties to a transfer and ties the security a buyer must post to that assessment (Section 5.5). What differs is the target. Those regimes run the logic inside strong institutions, whereas the framework adapts it to a setting where regulatory capacity is thinner and the consequences of failure fall on parties outside the sale, the harder case for which it is designed.</w:t>
      </w:r>
    </w:p>
    <w:p>
      <w:pPr>
        <w:pStyle w:val="BodyText"/>
      </w:pPr>
      <w:r>
        <w:t xml:space="preserve">Two features of the evidence bound how far the finding extends. Some of the Nigerian setting is specific to it: the theft and sabotage that confound production outcomes at the sector level (Chapter 4) limit what the production evidence can show, though they touch neither the existence of the externality nor the need to verify capability. The cases are also weighted toward divestments originating with Shell, which narrows the seller-independence of the finding. That weighting does not unsettle the core result, because the outcomes diverged sharply among buyers who all acquired from the same seller, so the divergence cannot be an artifact of seller identity. What it leaves open is whether the same pattern recurs across a broader base of sellers.</w:t>
      </w:r>
    </w:p>
    <w:p>
      <w:pPr>
        <w:pStyle w:val="BodyText"/>
      </w:pPr>
      <w:r>
        <w:t xml:space="preserve">The research agenda follows from these limits, not from a general call for more study. The first and most important open question follows from the absence of implementation data (Section 6.4): the framework is warranted by the documented conditions, not tested by results. The major post-2024 divestments, the Shell-to-Renaissance transfer and the recent ExxonMobil/MPNU and Eni/NAOC transfers to Seplat and Oando, are closing under the 2024 reforms and will produce the outcome record the cases here could not. As that record accumulates, it moves the design from warranted toward tested. A comparison between transfers screened for asset-specific capability and those screened only at the corporate level would then test, refine, or qualify it. These transactions are future tests, not present evidence; none has yet run long enough to establish medium-term production, integrity, and governance outcomes.</w:t>
      </w:r>
    </w:p>
    <w:p>
      <w:pPr>
        <w:pStyle w:val="BodyText"/>
      </w:pPr>
      <w:r>
        <w:t xml:space="preserve">Four narrower questions follow from limits already stated. The organizational-quality confound (Section 6.4) would be settled by operator-level data that separates capability inherited at transfer from capability a buyer already held, the attribution the cases could only bound. The seller-independence question would be answered by cases drawn from a wider set of divesting parties than the Shell-weighted record here. A third question concerns the boundary of non-contractible tacit knowledge (Section 6.4): how far retention, secondment, and a documented handover can carry what no instrument can compel directly. The last is one of scope, whether the framework holds in other petroleum-producing developing countries where divestment, constrained regulatory capacity, and externalized failure recur.</w:t>
      </w:r>
    </w:p>
    <w:p>
      <w:pPr>
        <w:pStyle w:val="BodyText"/>
      </w:pPr>
      <w:r>
        <w:t xml:space="preserve">Each of these is a specific open question left by a stated limit, not a gap to be filled for its own sake. With the evidence already in hand, they mark the path by which a framework warranted on the Nigerian record could be tested, extended, and, where the conditions recur, carried beyond it.</w:t>
      </w:r>
    </w:p>
    <w:bookmarkEnd w:id="24"/>
    <w:bookmarkStart w:id="25" w:name="contribution-and-conclusion"/>
    <w:p>
      <w:pPr>
        <w:pStyle w:val="Heading2"/>
      </w:pPr>
      <w:r>
        <w:t xml:space="preserve">6.6 Contribution and Conclusion</w:t>
      </w:r>
    </w:p>
    <w:p>
      <w:pPr>
        <w:pStyle w:val="FirstParagraph"/>
      </w:pPr>
      <w:r>
        <w:t xml:space="preserve">The primary contribution of this thesis is a systems-design one, and it reduces to a single reframing. What fails to transfer in a divestment is the operating capability embedded in the organization that ran the asset: the wells, the facilities, and the licenses change hands intact, while the capability that kept them safe and productive stays behind. Closing the gap that opens is a problem of institutional design, met by a control loop that holds that capability observable, demonstrable, and verifiable across the transfer. An upstream divestment is then the transfer of a sociotechnical system, and the failures observed across the cases sit in the control structure of that system. The empirical finding, that capability-related factors best account for the differentiated outcomes, underwrites the reframing; the reframing and the design that follows from it are the contribution.</w:t>
      </w:r>
    </w:p>
    <w:p>
      <w:pPr>
        <w:pStyle w:val="BodyText"/>
      </w:pPr>
      <w:r>
        <w:t xml:space="preserve">The diagnosis is grounded in a tradition that treats a producing asset as a coupling of a technical subsystem and the social subsystem that operates it (Trist and Bamforth, 1951; Section 2.2). Safe and productive operation is an emergent property of the two together rather than of the equipment alone. Unless the operating capability is deliberately carried across, a divestment divides that system along the interface between them, conveying the wells, the facilities, and the data while leaving the operating organization behind. What that organization holds, from the operating workforce to the contractor architecture, is the operating enterprise itself, which enterprise-architecting treats as an object of design in its own right (Nightingale and Rhodes, 2015; Section 5.2). Through that lens, the failure has a precise location. The party that knows what is being lost has no incentive to transfer it, the corrective feedback that would catch a shortfall before harm is severed, and much of the cost falls on parties outside the sale (Figure 2.1). That is a control failure in the systems-theoretic sense, the absence of the control actions and feedback that hold a hazardous process within safe bounds (Leveson, 2011; Section 5.4).</w:t>
      </w:r>
    </w:p>
    <w:p>
      <w:pPr>
        <w:pStyle w:val="BodyText"/>
      </w:pPr>
      <w:r>
        <w:t xml:space="preserve">The design follows from the diagnosis. The Capability Assurance Framework is a control structure for the transfer: three mutually constraining roles, seller disclosure, buyer absorption, and regulator verification, that reconstitute the operating system across the transaction by closing the loop the divestment severs (Figures 5.1 and 5.2). Each role supplies what the next must act on, so the structure holds only when all three operate together, and it installs the corrective function the market does not supply. The interlock sits at the level of capability. A divestment re-architects the operating enterprise only in part: it transfers the physical infrastructure intact while leaving the knowledge that runs it to be reconstituted by the buyer or lost. Because that gap is not captured by ordinary transaction documents, it can remain unverified until it surfaces in operation, the Aiteo pattern (Section 4.3). The buyer’s absorptive capacity (Cohen and Levinthal, 1990) is, in these terms, the receiving enterprise’s capacity to reconstitute that knowledge through the transition, and the framework’s verification step makes the difference observable before handover rather than after failure.</w:t>
      </w:r>
    </w:p>
    <w:p>
      <w:pPr>
        <w:pStyle w:val="BodyText"/>
      </w:pPr>
      <w:r>
        <w:t xml:space="preserve">The systems-design contribution is supported by three others, and none displaces it. The first is theoretical, combining the sociotechnical-systems tradition, enterprise-architecting, systems-theoretic control, and the absorptive-capacity and knowledge-transfer literatures into one account of a problem usually treated in financial, fiscal, or regulatory terms. The second is methodological: a discriminating-case design, built around a critical experiment with cross-case validation and the explicit adjudication of competing explanations (Chapter 3), adaptable to other divestment and asset-transfer settings where the same alternatives compete. The third is practical: the recommendations are attached to specific instruments a regulator already holds (Section 6.3), which makes the design deployable rather than only diagnostic.</w:t>
      </w:r>
    </w:p>
    <w:p>
      <w:pPr>
        <w:pStyle w:val="BodyText"/>
      </w:pPr>
      <w:r>
        <w:t xml:space="preserve">The scope of this contribution is bounded by what the evidence supports. The reframing and the design are warranted by the documented regularities and the design logic, not by implementation results the framework has yet to produce. The claim that holds is narrower and, within the cases examined, secure. A divestment leaves the control loop open when capability is not assured across it, and a framework of this kind makes that capability observable, testable, and enforceable at the point of transfer.</w:t>
      </w:r>
    </w:p>
    <w:p>
      <w:pPr>
        <w:pStyle w:val="BodyText"/>
      </w:pPr>
      <w:r>
        <w:t xml:space="preserve">Yet the stakes reach beyond the transaction itself. A divestment is not only a private sale; it is the transfer of responsibility for a public hazard. When the control loop is left open, the cost of a capability that does not survive falls not on the seller that exits or the buyer that underperforms, but on the host communities and the Nigerian state that never sat at the table. Closing the loop places the burden of demonstrating capability on the parties to the transfer, where the cost of failure says it belongs. Divestment, seen as a systems-design problem, comes down to a single requirement: that the transfer of the hardware not become the transfer of a hazard no one has agreed to carry.</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2026-06-22T17:23:15Z</dcterms:created>
  <dcterms:modified xsi:type="dcterms:W3CDTF">2026-06-22T17:23:15Z</dcterms:modified>
</cp:coreProperties>
</file>

<file path=docProps/custom.xml><?xml version="1.0" encoding="utf-8"?>
<Properties xmlns="http://schemas.openxmlformats.org/officeDocument/2006/custom-properties" xmlns:vt="http://schemas.openxmlformats.org/officeDocument/2006/docPropsVTypes"/>
</file>