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appendix-d.-case-by-case-evidence-table"/>
    <w:p>
      <w:pPr>
        <w:pStyle w:val="Heading1"/>
      </w:pPr>
      <w:r>
        <w:t xml:space="preserve">Appendix D. Case-by-Case Evidence Table</w:t>
      </w:r>
    </w:p>
    <w:p>
      <w:pPr>
        <w:pStyle w:val="FirstParagraph"/>
      </w:pPr>
      <w:r>
        <w:t xml:space="preserve">The documentary evidence for each case appears below, organized operator by operator. It draws on desktop research across the formal cases and the marginal field program, and underlies the verdicts in the empirical analysis (Chapter 4) and the verdict traceability matrix (Appendix E).</w:t>
      </w:r>
    </w:p>
    <w:bookmarkStart w:id="30" w:name="operator-evidence-inventory"/>
    <w:p>
      <w:pPr>
        <w:pStyle w:val="Heading2"/>
      </w:pPr>
      <w:r>
        <w:t xml:space="preserve">Operator Evidence Inventory</w:t>
      </w:r>
    </w:p>
    <w:p>
      <w:pPr>
        <w:pStyle w:val="FirstParagraph"/>
      </w:pPr>
      <w:r>
        <w:rPr>
          <w:bCs/>
          <w:b/>
        </w:rPr>
        <w:t xml:space="preserve">Table D.1. Case-by-case evidence summary: each operator’s place in the discrimination logic and how it performed after acquisition. The detailed evidence for each operator follows below.</w:t>
      </w:r>
    </w:p>
    <w:tbl>
      <w:tblPr>
        <w:tblW w:type="auto" w:w="0"/>
        <w:tblLook w:firstColumn="1" w:firstRow="1" w:lastColumn="0" w:lastRow="0" w:noHBand="0" w:noVBand="1" w:val="04A0"/>
        <w:tblLayout w:type="fixed"/>
        <w:tblW w:type="dxa" w:w="8640"/>
      </w:tblPr>
      <w:tblGrid>
        <w:gridCol w:w="1171"/>
        <w:gridCol w:w="2867"/>
        <w:gridCol w:w="1425"/>
        <w:gridCol w:w="1507"/>
        <w:gridCol w:w="1670"/>
      </w:tblGrid>
      <w:tr>
        <w:tc>
          <w:tcPr>
            <w:tcW w:type="dxa" w:w="1728"/>
            <w:tcW w:type="dxa" w:w="1171"/>
            <w:tcBorders>
              <w:left w:val="nil"/>
              <w:right w:val="nil"/>
              <w:top w:val="single" w:sz="8" w:space="0" w:color="000000"/>
              <w:bottom w:val="single" w:sz="4" w:space="0" w:color="000000"/>
            </w:tcBorders>
          </w:tcPr>
          <w:p>
            <w:pPr>
              <w:spacing w:before="40" w:after="40" w:line="240" w:lineRule="auto"/>
            </w:pPr>
            <w:r>
              <w:rPr>
                <w:b/>
                <w:sz w:val="16"/>
              </w:rPr>
              <w:t>Case (OML)</w:t>
            </w:r>
          </w:p>
        </w:tc>
        <w:tc>
          <w:tcPr>
            <w:tcW w:type="dxa" w:w="1728"/>
            <w:tcW w:type="dxa" w:w="2867"/>
            <w:tcBorders>
              <w:left w:val="nil"/>
              <w:right w:val="nil"/>
              <w:top w:val="single" w:sz="8" w:space="0" w:color="000000"/>
              <w:bottom w:val="single" w:sz="4" w:space="0" w:color="000000"/>
            </w:tcBorders>
          </w:tcPr>
          <w:p>
            <w:pPr>
              <w:spacing w:before="40" w:after="40" w:line="240" w:lineRule="auto"/>
            </w:pPr>
            <w:r>
              <w:rPr>
                <w:b/>
                <w:sz w:val="16"/>
              </w:rPr>
              <w:t>Role in the thesis</w:t>
            </w:r>
          </w:p>
        </w:tc>
        <w:tc>
          <w:tcPr>
            <w:tcW w:type="dxa" w:w="1728"/>
            <w:tcW w:type="dxa" w:w="1425"/>
            <w:tcBorders>
              <w:left w:val="nil"/>
              <w:right w:val="nil"/>
              <w:top w:val="single" w:sz="8" w:space="0" w:color="000000"/>
              <w:bottom w:val="single" w:sz="4" w:space="0" w:color="000000"/>
            </w:tcBorders>
          </w:tcPr>
          <w:p>
            <w:pPr>
              <w:spacing w:before="40" w:after="40" w:line="240" w:lineRule="auto"/>
            </w:pPr>
            <w:r>
              <w:rPr>
                <w:b/>
                <w:sz w:val="16"/>
              </w:rPr>
              <w:t>Acquisition</w:t>
            </w:r>
          </w:p>
        </w:tc>
        <w:tc>
          <w:tcPr>
            <w:tcW w:type="dxa" w:w="1728"/>
            <w:tcW w:type="dxa" w:w="1507"/>
            <w:tcBorders>
              <w:left w:val="nil"/>
              <w:right w:val="nil"/>
              <w:top w:val="single" w:sz="8" w:space="0" w:color="000000"/>
              <w:bottom w:val="single" w:sz="4" w:space="0" w:color="000000"/>
            </w:tcBorders>
          </w:tcPr>
          <w:p>
            <w:pPr>
              <w:spacing w:before="40" w:after="40" w:line="240" w:lineRule="auto"/>
            </w:pPr>
            <w:r>
              <w:rPr>
                <w:b/>
                <w:sz w:val="16"/>
              </w:rPr>
              <w:t>Production performance</w:t>
            </w:r>
          </w:p>
        </w:tc>
        <w:tc>
          <w:tcPr>
            <w:tcW w:type="dxa" w:w="1728"/>
            <w:tcW w:type="dxa" w:w="1670"/>
            <w:tcBorders>
              <w:left w:val="nil"/>
              <w:right w:val="nil"/>
              <w:top w:val="single" w:sz="8" w:space="0" w:color="000000"/>
              <w:bottom w:val="single" w:sz="4" w:space="0" w:color="000000"/>
            </w:tcBorders>
          </w:tcPr>
          <w:p>
            <w:pPr>
              <w:spacing w:before="40" w:after="40" w:line="240" w:lineRule="auto"/>
            </w:pPr>
            <w:r>
              <w:rPr>
                <w:b/>
                <w:sz w:val="16"/>
              </w:rPr>
              <w:t>Operational integrity</w:t>
            </w:r>
          </w:p>
        </w:tc>
      </w:tr>
      <w:tr>
        <w:tc>
          <w:tcPr>
            <w:tcW w:type="dxa" w:w="1728"/>
            <w:tcW w:type="dxa" w:w="1171"/>
            <w:tcBorders>
              <w:left w:val="nil"/>
              <w:right w:val="nil"/>
              <w:top w:val="nil"/>
              <w:bottom w:val="nil"/>
            </w:tcBorders>
          </w:tcPr>
          <w:p>
            <w:pPr>
              <w:spacing w:before="40" w:after="40" w:line="240" w:lineRule="auto"/>
            </w:pPr>
            <w:r>
              <w:rPr>
                <w:sz w:val="16"/>
              </w:rPr>
              <w:t>Aiteo (OML 29)</w:t>
            </w:r>
          </w:p>
        </w:tc>
        <w:tc>
          <w:tcPr>
            <w:tcW w:type="dxa" w:w="1728"/>
            <w:tcW w:type="dxa" w:w="2867"/>
            <w:tcBorders>
              <w:left w:val="nil"/>
              <w:right w:val="nil"/>
              <w:top w:val="nil"/>
              <w:bottom w:val="nil"/>
            </w:tcBorders>
          </w:tcPr>
          <w:p>
            <w:pPr>
              <w:spacing w:before="40" w:after="40" w:line="240" w:lineRule="auto"/>
            </w:pPr>
            <w:r>
              <w:rPr>
                <w:sz w:val="16"/>
              </w:rPr>
              <w:t>Critical experiment: separates capability-related factors from the capital, fiscal, and regulatory explanations</w:t>
            </w:r>
          </w:p>
        </w:tc>
        <w:tc>
          <w:tcPr>
            <w:tcW w:type="dxa" w:w="1728"/>
            <w:tcW w:type="dxa" w:w="1425"/>
            <w:tcBorders>
              <w:left w:val="nil"/>
              <w:right w:val="nil"/>
              <w:top w:val="nil"/>
              <w:bottom w:val="nil"/>
            </w:tcBorders>
          </w:tcPr>
          <w:p>
            <w:pPr>
              <w:spacing w:before="40" w:after="40" w:line="240" w:lineRule="auto"/>
            </w:pPr>
            <w:r>
              <w:rPr>
                <w:sz w:val="16"/>
              </w:rPr>
              <w:t>Shell, 45%, $1.7 billion (2015)</w:t>
            </w:r>
          </w:p>
        </w:tc>
        <w:tc>
          <w:tcPr>
            <w:tcW w:type="dxa" w:w="1728"/>
            <w:tcW w:type="dxa" w:w="1507"/>
            <w:tcBorders>
              <w:left w:val="nil"/>
              <w:right w:val="nil"/>
              <w:top w:val="nil"/>
              <w:bottom w:val="nil"/>
            </w:tcBorders>
          </w:tcPr>
          <w:p>
            <w:pPr>
              <w:spacing w:before="40" w:after="40" w:line="240" w:lineRule="auto"/>
            </w:pPr>
            <w:r>
              <w:rPr>
                <w:sz w:val="16"/>
              </w:rPr>
              <w:t>Tripled from 23,000 to 90,000 bpd by 2017</w:t>
            </w:r>
          </w:p>
        </w:tc>
        <w:tc>
          <w:tcPr>
            <w:tcW w:type="dxa" w:w="1728"/>
            <w:tcW w:type="dxa" w:w="1670"/>
            <w:tcBorders>
              <w:left w:val="nil"/>
              <w:right w:val="nil"/>
              <w:top w:val="nil"/>
              <w:bottom w:val="nil"/>
            </w:tcBorders>
          </w:tcPr>
          <w:p>
            <w:pPr>
              <w:spacing w:before="40" w:after="40" w:line="240" w:lineRule="auto"/>
            </w:pPr>
            <w:r>
              <w:rPr>
                <w:sz w:val="16"/>
              </w:rPr>
              <w:t>Santa Barbara blowout (2021): 33+ days, 200,000+ barrels, 41 communities; the well was undecommissioned since 2015; Boots and Coots was engaged only after the fact, and NOSDRA judged the incident beyond Aiteo’s capacity</w:t>
            </w:r>
          </w:p>
        </w:tc>
      </w:tr>
      <w:tr>
        <w:tc>
          <w:tcPr>
            <w:tcW w:type="dxa" w:w="1728"/>
            <w:tcW w:type="dxa" w:w="1171"/>
            <w:tcBorders>
              <w:left w:val="nil"/>
              <w:right w:val="nil"/>
              <w:top w:val="nil"/>
              <w:bottom w:val="nil"/>
            </w:tcBorders>
          </w:tcPr>
          <w:p>
            <w:pPr>
              <w:spacing w:before="40" w:after="40" w:line="240" w:lineRule="auto"/>
            </w:pPr>
            <w:r>
              <w:rPr>
                <w:sz w:val="16"/>
              </w:rPr>
              <w:t>Eroton (OML 18)</w:t>
            </w:r>
          </w:p>
        </w:tc>
        <w:tc>
          <w:tcPr>
            <w:tcW w:type="dxa" w:w="1728"/>
            <w:tcW w:type="dxa" w:w="2867"/>
            <w:tcBorders>
              <w:left w:val="nil"/>
              <w:right w:val="nil"/>
              <w:top w:val="nil"/>
              <w:bottom w:val="nil"/>
            </w:tcBorders>
          </w:tcPr>
          <w:p>
            <w:pPr>
              <w:spacing w:before="40" w:after="40" w:line="240" w:lineRule="auto"/>
            </w:pPr>
            <w:r>
              <w:rPr>
                <w:sz w:val="16"/>
              </w:rPr>
              <w:t>Literal replication; extends the pattern to systemic infrastructure cascade</w:t>
            </w:r>
          </w:p>
        </w:tc>
        <w:tc>
          <w:tcPr>
            <w:tcW w:type="dxa" w:w="1728"/>
            <w:tcW w:type="dxa" w:w="1425"/>
            <w:tcBorders>
              <w:left w:val="nil"/>
              <w:right w:val="nil"/>
              <w:top w:val="nil"/>
              <w:bottom w:val="nil"/>
            </w:tcBorders>
          </w:tcPr>
          <w:p>
            <w:pPr>
              <w:spacing w:before="40" w:after="40" w:line="240" w:lineRule="auto"/>
            </w:pPr>
            <w:r>
              <w:rPr>
                <w:sz w:val="16"/>
              </w:rPr>
              <w:t>Shell, 45% (2015)</w:t>
            </w:r>
          </w:p>
        </w:tc>
        <w:tc>
          <w:tcPr>
            <w:tcW w:type="dxa" w:w="1728"/>
            <w:tcW w:type="dxa" w:w="1507"/>
            <w:tcBorders>
              <w:left w:val="nil"/>
              <w:right w:val="nil"/>
              <w:top w:val="nil"/>
              <w:bottom w:val="nil"/>
            </w:tcBorders>
          </w:tcPr>
          <w:p>
            <w:pPr>
              <w:spacing w:before="40" w:after="40" w:line="240" w:lineRule="auto"/>
            </w:pPr>
            <w:r>
              <w:rPr>
                <w:sz w:val="16"/>
              </w:rPr>
              <w:t>Grew from 6,000 to 50,000 bpd in 24 months at the lowest technical cost per barrel, then collapsed to zero by the fourth quarter of 2021</w:t>
            </w:r>
          </w:p>
        </w:tc>
        <w:tc>
          <w:tcPr>
            <w:tcW w:type="dxa" w:w="1728"/>
            <w:tcW w:type="dxa" w:w="1670"/>
            <w:tcBorders>
              <w:left w:val="nil"/>
              <w:right w:val="nil"/>
              <w:top w:val="nil"/>
              <w:bottom w:val="nil"/>
            </w:tcBorders>
          </w:tcPr>
          <w:p>
            <w:pPr>
              <w:spacing w:before="40" w:after="40" w:line="240" w:lineRule="auto"/>
            </w:pPr>
            <w:r>
              <w:rPr>
                <w:sz w:val="16"/>
              </w:rPr>
              <w:t>The Aiteo-operated Nembe Creek Trunk Line entered force majeure and severed the export route; an NNPC forensic audit also found royalty non-payment and insider dealing</w:t>
            </w:r>
          </w:p>
        </w:tc>
      </w:tr>
      <w:tr>
        <w:tc>
          <w:tcPr>
            <w:tcW w:type="dxa" w:w="1728"/>
            <w:tcW w:type="dxa" w:w="1171"/>
            <w:tcBorders>
              <w:left w:val="nil"/>
              <w:right w:val="nil"/>
              <w:top w:val="nil"/>
              <w:bottom w:val="nil"/>
            </w:tcBorders>
          </w:tcPr>
          <w:p>
            <w:pPr>
              <w:spacing w:before="40" w:after="40" w:line="240" w:lineRule="auto"/>
            </w:pPr>
            <w:r>
              <w:rPr>
                <w:sz w:val="16"/>
              </w:rPr>
              <w:t>First Hydrocarbon, Afren (OML 26)</w:t>
            </w:r>
          </w:p>
        </w:tc>
        <w:tc>
          <w:tcPr>
            <w:tcW w:type="dxa" w:w="1728"/>
            <w:tcW w:type="dxa" w:w="2867"/>
            <w:tcBorders>
              <w:left w:val="nil"/>
              <w:right w:val="nil"/>
              <w:top w:val="nil"/>
              <w:bottom w:val="nil"/>
            </w:tcBorders>
          </w:tcPr>
          <w:p>
            <w:pPr>
              <w:spacing w:before="40" w:after="40" w:line="240" w:lineRule="auto"/>
            </w:pPr>
            <w:r>
              <w:rPr>
                <w:sz w:val="16"/>
              </w:rPr>
              <w:t>Regulator-verification component; the starkest buyer-assessment failure</w:t>
            </w:r>
          </w:p>
        </w:tc>
        <w:tc>
          <w:tcPr>
            <w:tcW w:type="dxa" w:w="1728"/>
            <w:tcW w:type="dxa" w:w="1425"/>
            <w:tcBorders>
              <w:left w:val="nil"/>
              <w:right w:val="nil"/>
              <w:top w:val="nil"/>
              <w:bottom w:val="nil"/>
            </w:tcBorders>
          </w:tcPr>
          <w:p>
            <w:pPr>
              <w:spacing w:before="40" w:after="40" w:line="240" w:lineRule="auto"/>
            </w:pPr>
            <w:r>
              <w:rPr>
                <w:sz w:val="16"/>
              </w:rPr>
              <w:t>Shell, 45% (2011), to an Afren special-purpose vehicle</w:t>
            </w:r>
          </w:p>
        </w:tc>
        <w:tc>
          <w:tcPr>
            <w:tcW w:type="dxa" w:w="1728"/>
            <w:tcW w:type="dxa" w:w="1507"/>
            <w:tcBorders>
              <w:left w:val="nil"/>
              <w:right w:val="nil"/>
              <w:top w:val="nil"/>
              <w:bottom w:val="nil"/>
            </w:tcBorders>
          </w:tcPr>
          <w:p>
            <w:pPr>
              <w:spacing w:before="40" w:after="40" w:line="240" w:lineRule="auto"/>
            </w:pPr>
            <w:r>
              <w:rPr>
                <w:sz w:val="16"/>
              </w:rPr>
              <w:t>Stalled; Afren collapsed before sustained development</w:t>
            </w:r>
          </w:p>
        </w:tc>
        <w:tc>
          <w:tcPr>
            <w:tcW w:type="dxa" w:w="1728"/>
            <w:tcW w:type="dxa" w:w="1670"/>
            <w:tcBorders>
              <w:left w:val="nil"/>
              <w:right w:val="nil"/>
              <w:top w:val="nil"/>
              <w:bottom w:val="nil"/>
            </w:tcBorders>
          </w:tcPr>
          <w:p>
            <w:pPr>
              <w:spacing w:before="40" w:after="40" w:line="240" w:lineRule="auto"/>
            </w:pPr>
            <w:r>
              <w:rPr>
                <w:sz w:val="16"/>
              </w:rPr>
              <w:t>The Afren chief executive and chief operating officer were convicted by the UK Serious Fraud Office, given concurrent custodial terms of up to six and five years, and the firm entered administration in 2015; capability was never tested, so capital was not the constraint for a then-$2.6 billion company</w:t>
            </w:r>
          </w:p>
        </w:tc>
      </w:tr>
      <w:tr>
        <w:tc>
          <w:tcPr>
            <w:tcW w:type="dxa" w:w="1728"/>
            <w:tcW w:type="dxa" w:w="1171"/>
            <w:tcBorders>
              <w:left w:val="nil"/>
              <w:right w:val="nil"/>
              <w:top w:val="nil"/>
              <w:bottom w:val="nil"/>
            </w:tcBorders>
          </w:tcPr>
          <w:p>
            <w:pPr>
              <w:spacing w:before="40" w:after="40" w:line="240" w:lineRule="auto"/>
            </w:pPr>
            <w:r>
              <w:rPr>
                <w:sz w:val="16"/>
              </w:rPr>
              <w:t>Seplat (OMLs 4, 38, 41)</w:t>
            </w:r>
          </w:p>
        </w:tc>
        <w:tc>
          <w:tcPr>
            <w:tcW w:type="dxa" w:w="1728"/>
            <w:tcW w:type="dxa" w:w="2867"/>
            <w:tcBorders>
              <w:left w:val="nil"/>
              <w:right w:val="nil"/>
              <w:top w:val="nil"/>
              <w:bottom w:val="nil"/>
            </w:tcBorders>
          </w:tcPr>
          <w:p>
            <w:pPr>
              <w:spacing w:before="40" w:after="40" w:line="240" w:lineRule="auto"/>
            </w:pPr>
            <w:r>
              <w:rPr>
                <w:sz w:val="16"/>
              </w:rPr>
              <w:t>Theoretical replication: success is predicted where the buyer holds absorptive capacity</w:t>
            </w:r>
          </w:p>
        </w:tc>
        <w:tc>
          <w:tcPr>
            <w:tcW w:type="dxa" w:w="1728"/>
            <w:tcW w:type="dxa" w:w="1425"/>
            <w:tcBorders>
              <w:left w:val="nil"/>
              <w:right w:val="nil"/>
              <w:top w:val="nil"/>
              <w:bottom w:val="nil"/>
            </w:tcBorders>
          </w:tcPr>
          <w:p>
            <w:pPr>
              <w:spacing w:before="40" w:after="40" w:line="240" w:lineRule="auto"/>
            </w:pPr>
            <w:r>
              <w:rPr>
                <w:sz w:val="16"/>
              </w:rPr>
              <w:t>Shell, 45% (2010); ExxonMobil shallow-water assets, $1.28 billion (2024)</w:t>
            </w:r>
          </w:p>
        </w:tc>
        <w:tc>
          <w:tcPr>
            <w:tcW w:type="dxa" w:w="1728"/>
            <w:tcW w:type="dxa" w:w="1507"/>
            <w:tcBorders>
              <w:left w:val="nil"/>
              <w:right w:val="nil"/>
              <w:top w:val="nil"/>
              <w:bottom w:val="nil"/>
            </w:tcBorders>
          </w:tcPr>
          <w:p>
            <w:pPr>
              <w:spacing w:before="40" w:after="40" w:line="240" w:lineRule="auto"/>
            </w:pPr>
            <w:r>
              <w:rPr>
                <w:sz w:val="16"/>
              </w:rPr>
              <w:t>Peak 85,200 bpd; reserves nearly doubled by 2015; built two gas plants and the Amukpe-Escravos pipeline</w:t>
            </w:r>
          </w:p>
        </w:tc>
        <w:tc>
          <w:tcPr>
            <w:tcW w:type="dxa" w:w="1728"/>
            <w:tcW w:type="dxa" w:w="1670"/>
            <w:tcBorders>
              <w:left w:val="nil"/>
              <w:right w:val="nil"/>
              <w:top w:val="nil"/>
              <w:bottom w:val="nil"/>
            </w:tcBorders>
          </w:tcPr>
          <w:p>
            <w:pPr>
              <w:spacing w:before="40" w:after="40" w:line="240" w:lineRule="auto"/>
            </w:pPr>
            <w:r>
              <w:rPr>
                <w:sz w:val="16"/>
              </w:rPr>
              <w:t>Two million man-hours without a recordable incident; the outcome rests on pre-existing capability (the founding team, Maurel et Prom, and dual listing), not on seller-facilitated transfer</w:t>
            </w:r>
          </w:p>
        </w:tc>
      </w:tr>
      <w:tr>
        <w:tc>
          <w:tcPr>
            <w:tcW w:type="dxa" w:w="1728"/>
            <w:tcW w:type="dxa" w:w="1171"/>
            <w:tcBorders>
              <w:left w:val="nil"/>
              <w:right w:val="nil"/>
              <w:top w:val="nil"/>
              <w:bottom w:val="nil"/>
            </w:tcBorders>
          </w:tcPr>
          <w:p>
            <w:pPr>
              <w:spacing w:before="40" w:after="40" w:line="240" w:lineRule="auto"/>
            </w:pPr>
            <w:r>
              <w:rPr>
                <w:sz w:val="16"/>
              </w:rPr>
              <w:t>Shoreline, HEOSL (OML 30)</w:t>
            </w:r>
          </w:p>
        </w:tc>
        <w:tc>
          <w:tcPr>
            <w:tcW w:type="dxa" w:w="1728"/>
            <w:tcW w:type="dxa" w:w="2867"/>
            <w:tcBorders>
              <w:left w:val="nil"/>
              <w:right w:val="nil"/>
              <w:top w:val="nil"/>
              <w:bottom w:val="nil"/>
            </w:tcBorders>
          </w:tcPr>
          <w:p>
            <w:pPr>
              <w:spacing w:before="40" w:after="40" w:line="240" w:lineRule="auto"/>
            </w:pPr>
            <w:r>
              <w:rPr>
                <w:sz w:val="16"/>
              </w:rPr>
              <w:t>Within-OML natural experiment: the same asset and regime under different operators</w:t>
            </w:r>
          </w:p>
        </w:tc>
        <w:tc>
          <w:tcPr>
            <w:tcW w:type="dxa" w:w="1728"/>
            <w:tcW w:type="dxa" w:w="1425"/>
            <w:tcBorders>
              <w:left w:val="nil"/>
              <w:right w:val="nil"/>
              <w:top w:val="nil"/>
              <w:bottom w:val="nil"/>
            </w:tcBorders>
          </w:tcPr>
          <w:p>
            <w:pPr>
              <w:spacing w:before="40" w:after="40" w:line="240" w:lineRule="auto"/>
            </w:pPr>
            <w:r>
              <w:rPr>
                <w:sz w:val="16"/>
              </w:rPr>
              <w:t>Shell, Total, and Eni, 45%, $850 million (2012); NPDC first operated</w:t>
            </w:r>
          </w:p>
        </w:tc>
        <w:tc>
          <w:tcPr>
            <w:tcW w:type="dxa" w:w="1728"/>
            <w:tcW w:type="dxa" w:w="1507"/>
            <w:tcBorders>
              <w:left w:val="nil"/>
              <w:right w:val="nil"/>
              <w:top w:val="nil"/>
              <w:bottom w:val="nil"/>
            </w:tcBorders>
          </w:tcPr>
          <w:p>
            <w:pPr>
              <w:spacing w:before="40" w:after="40" w:line="240" w:lineRule="auto"/>
            </w:pPr>
            <w:r>
              <w:rPr>
                <w:sz w:val="16"/>
              </w:rPr>
              <w:t>25,000 to 45,000 bopd under NPDC (2012 to 2017); grew to 80,000 bopd under HEOSL after 2017</w:t>
            </w:r>
          </w:p>
        </w:tc>
        <w:tc>
          <w:tcPr>
            <w:tcW w:type="dxa" w:w="1728"/>
            <w:tcW w:type="dxa" w:w="1670"/>
            <w:tcBorders>
              <w:left w:val="nil"/>
              <w:right w:val="nil"/>
              <w:top w:val="nil"/>
              <w:bottom w:val="nil"/>
            </w:tcBorders>
          </w:tcPr>
          <w:p>
            <w:pPr>
              <w:spacing w:before="40" w:after="40" w:line="240" w:lineRule="auto"/>
            </w:pPr>
            <w:r>
              <w:rPr>
                <w:sz w:val="16"/>
              </w:rPr>
              <w:t>Aggressive rehabilitation under HEOSL with no major incident reported; the cleanest available test of capability against regulation</w:t>
            </w:r>
          </w:p>
        </w:tc>
      </w:tr>
      <w:tr>
        <w:tc>
          <w:tcPr>
            <w:tcW w:type="dxa" w:w="1728"/>
            <w:tcW w:type="dxa" w:w="1171"/>
            <w:tcBorders>
              <w:left w:val="nil"/>
              <w:right w:val="nil"/>
              <w:top w:val="nil"/>
              <w:bottom w:val="nil"/>
            </w:tcBorders>
          </w:tcPr>
          <w:p>
            <w:pPr>
              <w:spacing w:before="40" w:after="40" w:line="240" w:lineRule="auto"/>
            </w:pPr>
            <w:r>
              <w:rPr>
                <w:sz w:val="16"/>
              </w:rPr>
              <w:t>NPDC (NEPL portfolio)</w:t>
            </w:r>
          </w:p>
        </w:tc>
        <w:tc>
          <w:tcPr>
            <w:tcW w:type="dxa" w:w="1728"/>
            <w:tcW w:type="dxa" w:w="2867"/>
            <w:tcBorders>
              <w:left w:val="nil"/>
              <w:right w:val="nil"/>
              <w:top w:val="nil"/>
              <w:bottom w:val="nil"/>
            </w:tcBorders>
          </w:tcPr>
          <w:p>
            <w:pPr>
              <w:spacing w:before="40" w:after="40" w:line="240" w:lineRule="auto"/>
            </w:pPr>
            <w:r>
              <w:rPr>
                <w:sz w:val="16"/>
              </w:rPr>
              <w:t>State subsidiary: even the government’s own operator could not sustain IOC-era performance</w:t>
            </w:r>
          </w:p>
        </w:tc>
        <w:tc>
          <w:tcPr>
            <w:tcW w:type="dxa" w:w="1728"/>
            <w:tcW w:type="dxa" w:w="1425"/>
            <w:tcBorders>
              <w:left w:val="nil"/>
              <w:right w:val="nil"/>
              <w:top w:val="nil"/>
              <w:bottom w:val="nil"/>
            </w:tcBorders>
          </w:tcPr>
          <w:p>
            <w:pPr>
              <w:spacing w:before="40" w:after="40" w:line="240" w:lineRule="auto"/>
            </w:pPr>
            <w:r>
              <w:rPr>
                <w:sz w:val="16"/>
              </w:rPr>
              <w:t>55% in eight or more Shell-divested OMLs</w:t>
            </w:r>
          </w:p>
        </w:tc>
        <w:tc>
          <w:tcPr>
            <w:tcW w:type="dxa" w:w="1728"/>
            <w:tcW w:type="dxa" w:w="1507"/>
            <w:tcBorders>
              <w:left w:val="nil"/>
              <w:right w:val="nil"/>
              <w:top w:val="nil"/>
              <w:bottom w:val="nil"/>
            </w:tcBorders>
          </w:tcPr>
          <w:p>
            <w:pPr>
              <w:spacing w:before="40" w:after="40" w:line="240" w:lineRule="auto"/>
            </w:pPr>
            <w:r>
              <w:rPr>
                <w:sz w:val="16"/>
              </w:rPr>
              <w:t>180,000 bpd (2017); the 500,000 bpd target for 2020 was never met</w:t>
            </w:r>
          </w:p>
        </w:tc>
        <w:tc>
          <w:tcPr>
            <w:tcW w:type="dxa" w:w="1728"/>
            <w:tcW w:type="dxa" w:w="1670"/>
            <w:tcBorders>
              <w:left w:val="nil"/>
              <w:right w:val="nil"/>
              <w:top w:val="nil"/>
              <w:bottom w:val="nil"/>
            </w:tcBorders>
          </w:tcPr>
          <w:p>
            <w:pPr>
              <w:spacing w:before="40" w:after="40" w:line="240" w:lineRule="auto"/>
            </w:pPr>
            <w:r>
              <w:rPr>
                <w:sz w:val="16"/>
              </w:rPr>
              <w:t>Technical efficiency of 23%, the lowest of all operator categories (Adekunle et al. 2019); the Benin River explosion (2020) killed seven; the top spill contributor in 2016</w:t>
            </w:r>
          </w:p>
        </w:tc>
      </w:tr>
      <w:tr>
        <w:tc>
          <w:tcPr>
            <w:tcW w:type="dxa" w:w="1728"/>
            <w:tcW w:type="dxa" w:w="1171"/>
            <w:tcBorders>
              <w:left w:val="nil"/>
              <w:right w:val="nil"/>
              <w:top w:val="nil"/>
              <w:bottom w:val="nil"/>
            </w:tcBorders>
          </w:tcPr>
          <w:p>
            <w:pPr>
              <w:spacing w:before="40" w:after="40" w:line="240" w:lineRule="auto"/>
            </w:pPr>
            <w:r>
              <w:rPr>
                <w:sz w:val="16"/>
              </w:rPr>
              <w:t>Neconde (OML 42)</w:t>
            </w:r>
          </w:p>
        </w:tc>
        <w:tc>
          <w:tcPr>
            <w:tcW w:type="dxa" w:w="1728"/>
            <w:tcW w:type="dxa" w:w="2867"/>
            <w:tcBorders>
              <w:left w:val="nil"/>
              <w:right w:val="nil"/>
              <w:top w:val="nil"/>
              <w:bottom w:val="nil"/>
            </w:tcBorders>
          </w:tcPr>
          <w:p>
            <w:pPr>
              <w:spacing w:before="40" w:after="40" w:line="240" w:lineRule="auto"/>
            </w:pPr>
            <w:r>
              <w:rPr>
                <w:sz w:val="16"/>
              </w:rPr>
              <w:t>Confirms the NPDC underperformance-then-improvement pattern</w:t>
            </w:r>
          </w:p>
        </w:tc>
        <w:tc>
          <w:tcPr>
            <w:tcW w:type="dxa" w:w="1728"/>
            <w:tcW w:type="dxa" w:w="1425"/>
            <w:tcBorders>
              <w:left w:val="nil"/>
              <w:right w:val="nil"/>
              <w:top w:val="nil"/>
              <w:bottom w:val="nil"/>
            </w:tcBorders>
          </w:tcPr>
          <w:p>
            <w:pPr>
              <w:spacing w:before="40" w:after="40" w:line="240" w:lineRule="auto"/>
            </w:pPr>
            <w:r>
              <w:rPr>
                <w:sz w:val="16"/>
              </w:rPr>
              <w:t>Shell, 45%, $585 million (2011)</w:t>
            </w:r>
          </w:p>
        </w:tc>
        <w:tc>
          <w:tcPr>
            <w:tcW w:type="dxa" w:w="1728"/>
            <w:tcW w:type="dxa" w:w="1507"/>
            <w:tcBorders>
              <w:left w:val="nil"/>
              <w:right w:val="nil"/>
              <w:top w:val="nil"/>
              <w:bottom w:val="nil"/>
            </w:tcBorders>
          </w:tcPr>
          <w:p>
            <w:pPr>
              <w:spacing w:before="40" w:after="40" w:line="240" w:lineRule="auto"/>
            </w:pPr>
            <w:r>
              <w:rPr>
                <w:sz w:val="16"/>
              </w:rPr>
              <w:t>NPDC declined from 2011 to 2015; Neconde grew output from 10,000 to 50,000 bpd after taking over in 2015</w:t>
            </w:r>
          </w:p>
        </w:tc>
        <w:tc>
          <w:tcPr>
            <w:tcW w:type="dxa" w:w="1728"/>
            <w:tcW w:type="dxa" w:w="1670"/>
            <w:tcBorders>
              <w:left w:val="nil"/>
              <w:right w:val="nil"/>
              <w:top w:val="nil"/>
              <w:bottom w:val="nil"/>
            </w:tcBorders>
          </w:tcPr>
          <w:p>
            <w:pPr>
              <w:spacing w:before="40" w:after="40" w:line="240" w:lineRule="auto"/>
            </w:pPr>
            <w:r>
              <w:rPr>
                <w:sz w:val="16"/>
              </w:rPr>
              <w:t>Improvement under a more capable operator following the NPDC period</w:t>
            </w:r>
          </w:p>
        </w:tc>
      </w:tr>
      <w:tr>
        <w:tc>
          <w:tcPr>
            <w:tcW w:type="dxa" w:w="1728"/>
            <w:tcW w:type="dxa" w:w="1171"/>
            <w:tcBorders>
              <w:left w:val="nil"/>
              <w:right w:val="nil"/>
              <w:top w:val="nil"/>
              <w:bottom w:val="nil"/>
            </w:tcBorders>
          </w:tcPr>
          <w:p>
            <w:pPr>
              <w:spacing w:before="40" w:after="40" w:line="240" w:lineRule="auto"/>
            </w:pPr>
            <w:r>
              <w:rPr>
                <w:sz w:val="16"/>
              </w:rPr>
              <w:t>Elcrest (OML 40)</w:t>
            </w:r>
          </w:p>
        </w:tc>
        <w:tc>
          <w:tcPr>
            <w:tcW w:type="dxa" w:w="1728"/>
            <w:tcW w:type="dxa" w:w="2867"/>
            <w:tcBorders>
              <w:left w:val="nil"/>
              <w:right w:val="nil"/>
              <w:top w:val="nil"/>
              <w:bottom w:val="nil"/>
            </w:tcBorders>
          </w:tcPr>
          <w:p>
            <w:pPr>
              <w:spacing w:before="40" w:after="40" w:line="240" w:lineRule="auto"/>
            </w:pPr>
            <w:r>
              <w:rPr>
                <w:sz w:val="16"/>
              </w:rPr>
              <w:t>Attribution boundary: the OML 40 explosion occurred under NPDC, not Elcrest</w:t>
            </w:r>
          </w:p>
        </w:tc>
        <w:tc>
          <w:tcPr>
            <w:tcW w:type="dxa" w:w="1728"/>
            <w:tcW w:type="dxa" w:w="1425"/>
            <w:tcBorders>
              <w:left w:val="nil"/>
              <w:right w:val="nil"/>
              <w:top w:val="nil"/>
              <w:bottom w:val="nil"/>
            </w:tcBorders>
          </w:tcPr>
          <w:p>
            <w:pPr>
              <w:spacing w:before="40" w:after="40" w:line="240" w:lineRule="auto"/>
            </w:pPr>
            <w:r>
              <w:rPr>
                <w:sz w:val="16"/>
              </w:rPr>
              <w:t>Shell, 45% (2012); Eland, later Seplat, 45%</w:t>
            </w:r>
          </w:p>
        </w:tc>
        <w:tc>
          <w:tcPr>
            <w:tcW w:type="dxa" w:w="1728"/>
            <w:tcW w:type="dxa" w:w="1507"/>
            <w:tcBorders>
              <w:left w:val="nil"/>
              <w:right w:val="nil"/>
              <w:top w:val="nil"/>
              <w:bottom w:val="nil"/>
            </w:tcBorders>
          </w:tcPr>
          <w:p>
            <w:pPr>
              <w:spacing w:before="40" w:after="40" w:line="240" w:lineRule="auto"/>
            </w:pPr>
            <w:r>
              <w:rPr>
                <w:sz w:val="16"/>
              </w:rPr>
              <w:t>Limited Elcrest-specific data</w:t>
            </w:r>
          </w:p>
        </w:tc>
        <w:tc>
          <w:tcPr>
            <w:tcW w:type="dxa" w:w="1728"/>
            <w:tcW w:type="dxa" w:w="1670"/>
            <w:tcBorders>
              <w:left w:val="nil"/>
              <w:right w:val="nil"/>
              <w:top w:val="nil"/>
              <w:bottom w:val="nil"/>
            </w:tcBorders>
          </w:tcPr>
          <w:p>
            <w:pPr>
              <w:spacing w:before="40" w:after="40" w:line="240" w:lineRule="auto"/>
            </w:pPr>
            <w:r>
              <w:rPr>
                <w:sz w:val="16"/>
              </w:rPr>
              <w:t>The Benin River fatal explosion occurred under NPDC operation; the case is primarily NPDC evidence rather than Elcrest evidence</w:t>
            </w:r>
          </w:p>
        </w:tc>
      </w:tr>
      <w:tr>
        <w:tc>
          <w:tcPr>
            <w:tcW w:type="dxa" w:w="1728"/>
            <w:tcW w:type="dxa" w:w="1171"/>
            <w:tcBorders>
              <w:left w:val="nil"/>
              <w:right w:val="nil"/>
              <w:top w:val="nil"/>
              <w:bottom w:val="nil"/>
            </w:tcBorders>
          </w:tcPr>
          <w:p>
            <w:pPr>
              <w:spacing w:before="40" w:after="40" w:line="240" w:lineRule="auto"/>
            </w:pPr>
            <w:r>
              <w:rPr>
                <w:sz w:val="16"/>
              </w:rPr>
              <w:t>Renaissance (SPDC JV)</w:t>
            </w:r>
          </w:p>
        </w:tc>
        <w:tc>
          <w:tcPr>
            <w:tcW w:type="dxa" w:w="1728"/>
            <w:tcW w:type="dxa" w:w="2867"/>
            <w:tcBorders>
              <w:left w:val="nil"/>
              <w:right w:val="nil"/>
              <w:top w:val="nil"/>
              <w:bottom w:val="nil"/>
            </w:tcBorders>
          </w:tcPr>
          <w:p>
            <w:pPr>
              <w:spacing w:before="40" w:after="40" w:line="240" w:lineRule="auto"/>
            </w:pPr>
            <w:r>
              <w:rPr>
                <w:sz w:val="16"/>
              </w:rPr>
              <w:t>Future test: deliberate capability preservation applied from 2025, not yet confirmatory</w:t>
            </w:r>
          </w:p>
        </w:tc>
        <w:tc>
          <w:tcPr>
            <w:tcW w:type="dxa" w:w="1728"/>
            <w:tcW w:type="dxa" w:w="1425"/>
            <w:tcBorders>
              <w:left w:val="nil"/>
              <w:right w:val="nil"/>
              <w:top w:val="nil"/>
              <w:bottom w:val="nil"/>
            </w:tcBorders>
          </w:tcPr>
          <w:p>
            <w:pPr>
              <w:spacing w:before="40" w:after="40" w:line="240" w:lineRule="auto"/>
            </w:pPr>
            <w:r>
              <w:rPr>
                <w:sz w:val="16"/>
              </w:rPr>
              <w:t>100% of SPDC (18 OMLs), $1.3 billion (2025)</w:t>
            </w:r>
          </w:p>
        </w:tc>
        <w:tc>
          <w:tcPr>
            <w:tcW w:type="dxa" w:w="1728"/>
            <w:tcW w:type="dxa" w:w="1507"/>
            <w:tcBorders>
              <w:left w:val="nil"/>
              <w:right w:val="nil"/>
              <w:top w:val="nil"/>
              <w:bottom w:val="nil"/>
            </w:tcBorders>
          </w:tcPr>
          <w:p>
            <w:pPr>
              <w:spacing w:before="40" w:after="40" w:line="240" w:lineRule="auto"/>
            </w:pPr>
            <w:r>
              <w:rPr>
                <w:sz w:val="16"/>
              </w:rPr>
              <w:t>Early figures of 200,000+ bpd, with all pipelines operational by April 2025</w:t>
            </w:r>
          </w:p>
        </w:tc>
        <w:tc>
          <w:tcPr>
            <w:tcW w:type="dxa" w:w="1728"/>
            <w:tcW w:type="dxa" w:w="1670"/>
            <w:tcBorders>
              <w:left w:val="nil"/>
              <w:right w:val="nil"/>
              <w:top w:val="nil"/>
              <w:bottom w:val="nil"/>
            </w:tcBorders>
          </w:tcPr>
          <w:p>
            <w:pPr>
              <w:spacing w:before="40" w:after="40" w:line="240" w:lineRule="auto"/>
            </w:pPr>
            <w:r>
              <w:rPr>
                <w:sz w:val="16"/>
              </w:rPr>
              <w:t>Former Shell staff were retained rather than replaced, a deliberate response to the documented failure pattern; the outcome is too recent to confirm</w:t>
            </w:r>
          </w:p>
        </w:tc>
      </w:tr>
      <w:tr>
        <w:tc>
          <w:tcPr>
            <w:tcW w:type="dxa" w:w="1728"/>
            <w:tcW w:type="dxa" w:w="1171"/>
            <w:tcBorders>
              <w:left w:val="nil"/>
              <w:right w:val="nil"/>
              <w:top w:val="nil"/>
              <w:bottom w:val="single" w:sz="8" w:space="0" w:color="000000"/>
            </w:tcBorders>
          </w:tcPr>
          <w:p>
            <w:pPr>
              <w:spacing w:before="40" w:after="40" w:line="240" w:lineRule="auto"/>
            </w:pPr>
            <w:r>
              <w:rPr>
                <w:sz w:val="16"/>
              </w:rPr>
              <w:t>Shebah (FPSO)</w:t>
            </w:r>
          </w:p>
        </w:tc>
        <w:tc>
          <w:tcPr>
            <w:tcW w:type="dxa" w:w="1728"/>
            <w:tcW w:type="dxa" w:w="2867"/>
            <w:tcBorders>
              <w:left w:val="nil"/>
              <w:right w:val="nil"/>
              <w:top w:val="nil"/>
              <w:bottom w:val="single" w:sz="8" w:space="0" w:color="000000"/>
            </w:tcBorders>
          </w:tcPr>
          <w:p>
            <w:pPr>
              <w:spacing w:before="40" w:after="40" w:line="240" w:lineRule="auto"/>
            </w:pPr>
            <w:r>
              <w:rPr>
                <w:sz w:val="16"/>
              </w:rPr>
              <w:t>Aged-infrastructure failure under an indigenous operator</w:t>
            </w:r>
          </w:p>
        </w:tc>
        <w:tc>
          <w:tcPr>
            <w:tcW w:type="dxa" w:w="1728"/>
            <w:tcW w:type="dxa" w:w="1425"/>
            <w:tcBorders>
              <w:left w:val="nil"/>
              <w:right w:val="nil"/>
              <w:top w:val="nil"/>
              <w:bottom w:val="single" w:sz="8" w:space="0" w:color="000000"/>
            </w:tcBorders>
          </w:tcPr>
          <w:p>
            <w:pPr>
              <w:spacing w:before="40" w:after="40" w:line="240" w:lineRule="auto"/>
            </w:pPr>
            <w:r>
              <w:rPr>
                <w:sz w:val="16"/>
              </w:rPr>
              <w:t>Floating production, storage, and offloading operation</w:t>
            </w:r>
          </w:p>
        </w:tc>
        <w:tc>
          <w:tcPr>
            <w:tcW w:type="dxa" w:w="1728"/>
            <w:tcW w:type="dxa" w:w="1507"/>
            <w:tcBorders>
              <w:left w:val="nil"/>
              <w:right w:val="nil"/>
              <w:top w:val="nil"/>
              <w:bottom w:val="single" w:sz="8" w:space="0" w:color="000000"/>
            </w:tcBorders>
          </w:tcPr>
          <w:p>
            <w:pPr>
              <w:spacing w:before="40" w:after="40" w:line="240" w:lineRule="auto"/>
            </w:pPr>
            <w:r>
              <w:rPr>
                <w:sz w:val="16"/>
              </w:rPr>
              <w:t>Trading-vessel service</w:t>
            </w:r>
          </w:p>
        </w:tc>
        <w:tc>
          <w:tcPr>
            <w:tcW w:type="dxa" w:w="1728"/>
            <w:tcW w:type="dxa" w:w="1670"/>
            <w:tcBorders>
              <w:left w:val="nil"/>
              <w:right w:val="nil"/>
              <w:top w:val="nil"/>
              <w:bottom w:val="single" w:sz="8" w:space="0" w:color="000000"/>
            </w:tcBorders>
          </w:tcPr>
          <w:p>
            <w:pPr>
              <w:spacing w:before="40" w:after="40" w:line="240" w:lineRule="auto"/>
            </w:pPr>
            <w:r>
              <w:rPr>
                <w:sz w:val="16"/>
              </w:rPr>
              <w:t>A 2022 explosion on a nearly 50-year-old vessel carrying about 60,000 barrels left 10 crew dead or missing, illustrating infrastructure-age and maintenance failure</w:t>
            </w:r>
          </w:p>
        </w:tc>
      </w:tr>
    </w:tbl>
    <w:bookmarkStart w:id="20" w:name="aiteo-oml-29"/>
    <w:p>
      <w:pPr>
        <w:pStyle w:val="Heading3"/>
      </w:pPr>
      <w:r>
        <w:t xml:space="preserve">Aiteo, OML 29</w:t>
      </w:r>
    </w:p>
    <w:p>
      <w:pPr>
        <w:pStyle w:val="FirstParagraph"/>
      </w:pPr>
      <w:r>
        <w:rPr>
          <w:bCs/>
          <w:b/>
        </w:rPr>
        <w:t xml:space="preserve">Acquisition:</w:t>
      </w:r>
      <w:r>
        <w:t xml:space="preserve"> </w:t>
      </w:r>
      <w:r>
        <w:t xml:space="preserve">Shell sold 45% for $1.7 billion (2015). OML 29, onshore Niger Delta.</w:t>
      </w:r>
    </w:p>
    <w:p>
      <w:pPr>
        <w:pStyle w:val="BodyText"/>
      </w:pPr>
      <w:r>
        <w:rPr>
          <w:bCs/>
          <w:b/>
        </w:rPr>
        <w:t xml:space="preserve">Production</w:t>
      </w:r>
    </w:p>
    <w:p>
      <w:pPr>
        <w:pStyle w:val="BodyText"/>
      </w:pPr>
      <w:r>
        <w:t xml:space="preserve">Tripled from 23,000 bpd to 90,000 bpd by March 2017.</w:t>
      </w:r>
    </w:p>
    <w:p>
      <w:pPr>
        <w:pStyle w:val="BodyText"/>
      </w:pPr>
      <w:r>
        <w:rPr>
          <w:bCs/>
          <w:b/>
        </w:rPr>
        <w:t xml:space="preserve">Crisis Failure</w:t>
      </w:r>
    </w:p>
    <w:p>
      <w:pPr>
        <w:pStyle w:val="BodyText"/>
      </w:pPr>
      <w:r>
        <w:t xml:space="preserve">November 5, 2021: Santa Barbara Well 1 blowout. Duration 33+ days. Estimated 200,000+ barrels spilled. 41 communities affected. The well was non-producing since 2015, neither decommissioned by Shell before sale nor by Aiteo after acquisition. Prior spills from the same wellhead in 2018 and 2019, unremediated.</w:t>
      </w:r>
    </w:p>
    <w:p>
      <w:pPr>
        <w:pStyle w:val="BodyText"/>
      </w:pPr>
      <w:r>
        <w:rPr>
          <w:bCs/>
          <w:b/>
        </w:rPr>
        <w:t xml:space="preserve">External Capability Engagement</w:t>
      </w:r>
    </w:p>
    <w:p>
      <w:pPr>
        <w:pStyle w:val="BodyText"/>
      </w:pPr>
      <w:r>
        <w:t xml:space="preserve">Boots and Coots (Halliburton subsidiary) engaged for well control after the fact. The NOSDRA Director General stated the incident was</w:t>
      </w:r>
      <w:r>
        <w:t xml:space="preserve"> </w:t>
      </w:r>
      <w:r>
        <w:t xml:space="preserve">‘</w:t>
      </w:r>
      <w:r>
        <w:t xml:space="preserve">beyond the capacity of a single company like Aiteo.</w:t>
      </w:r>
      <w:r>
        <w:t xml:space="preserve">’</w:t>
      </w:r>
      <w:r>
        <w:t xml:space="preserve"> </w:t>
      </w:r>
      <w:r>
        <w:t xml:space="preserve">SDN documented that the operator</w:t>
      </w:r>
      <w:r>
        <w:t xml:space="preserve"> </w:t>
      </w:r>
      <w:r>
        <w:t xml:space="preserve">‘</w:t>
      </w:r>
      <w:r>
        <w:t xml:space="preserve">did not have the response strategy or expertise to plug the leak.</w:t>
      </w:r>
      <w:r>
        <w:t xml:space="preserve">’</w:t>
      </w:r>
    </w:p>
    <w:p>
      <w:pPr>
        <w:pStyle w:val="BodyText"/>
      </w:pPr>
      <w:r>
        <w:rPr>
          <w:bCs/>
          <w:b/>
        </w:rPr>
        <w:t xml:space="preserve">Information Asymmetry</w:t>
      </w:r>
    </w:p>
    <w:p>
      <w:pPr>
        <w:pStyle w:val="BodyText"/>
      </w:pPr>
      <w:r>
        <w:t xml:space="preserve">Aiteo v. Shell (FHC/ABJ/C8/738/2021): alleged Shell sold Kugbo West and Okiori wells already transferred to FGN, and did not disclose full asset condition.</w:t>
      </w:r>
    </w:p>
    <w:p>
      <w:pPr>
        <w:pStyle w:val="BodyText"/>
      </w:pPr>
      <w:r>
        <w:rPr>
          <w:bCs/>
          <w:b/>
        </w:rPr>
        <w:t xml:space="preserve">Systemic Cascade</w:t>
      </w:r>
    </w:p>
    <w:p>
      <w:pPr>
        <w:pStyle w:val="BodyText"/>
      </w:pPr>
      <w:r>
        <w:t xml:space="preserve">Aiteo’s inability to maintain the Nembe Creek Trunk Line (NCTL) directly caused the Eroton/OML 18 export failure and production shutdown.</w:t>
      </w:r>
    </w:p>
    <w:p>
      <w:pPr>
        <w:pStyle w:val="BodyText"/>
      </w:pPr>
      <w:r>
        <w:rPr>
          <w:bCs/>
          <w:b/>
        </w:rPr>
        <w:t xml:space="preserve">Community Foresight</w:t>
      </w:r>
    </w:p>
    <w:p>
      <w:pPr>
        <w:pStyle w:val="BodyText"/>
      </w:pPr>
      <w:r>
        <w:t xml:space="preserve">The Nembe community placed a</w:t>
      </w:r>
      <w:r>
        <w:t xml:space="preserve"> </w:t>
      </w:r>
      <w:r>
        <w:t xml:space="preserve">‘</w:t>
      </w:r>
      <w:r>
        <w:t xml:space="preserve">buyer beware</w:t>
      </w:r>
      <w:r>
        <w:t xml:space="preserve">’</w:t>
      </w:r>
      <w:r>
        <w:t xml:space="preserve"> </w:t>
      </w:r>
      <w:r>
        <w:t xml:space="preserve">decree on the Shell-to-Aiteo sale in 2015, before the transaction closed.</w:t>
      </w:r>
    </w:p>
    <w:bookmarkEnd w:id="20"/>
    <w:bookmarkStart w:id="21" w:name="eroton-oml-18"/>
    <w:p>
      <w:pPr>
        <w:pStyle w:val="Heading3"/>
      </w:pPr>
      <w:r>
        <w:t xml:space="preserve">Eroton, OML 18</w:t>
      </w:r>
    </w:p>
    <w:p>
      <w:pPr>
        <w:pStyle w:val="FirstParagraph"/>
      </w:pPr>
      <w:r>
        <w:rPr>
          <w:bCs/>
          <w:b/>
        </w:rPr>
        <w:t xml:space="preserve">Acquisition:</w:t>
      </w:r>
      <w:r>
        <w:t xml:space="preserve"> </w:t>
      </w:r>
      <w:r>
        <w:t xml:space="preserve">Shell sold 45% in 2015. OML 18, onshore Niger Delta.</w:t>
      </w:r>
    </w:p>
    <w:p>
      <w:pPr>
        <w:pStyle w:val="BodyText"/>
      </w:pPr>
      <w:r>
        <w:rPr>
          <w:bCs/>
          <w:b/>
        </w:rPr>
        <w:t xml:space="preserve">Production Timeline</w:t>
      </w:r>
    </w:p>
    <w:p>
      <w:pPr>
        <w:pStyle w:val="BodyText"/>
      </w:pPr>
      <w:r>
        <w:t xml:space="preserve">Inherited at 6,000 bpd. Grew to 50,000 bpd within 24 months. NNPC recognized Eroton as one of two operators with the lowest technical cost per barrel. Peak gross production: 45,000 (2018), 39,000 (2019), 21,100 delivered (2020), 4,400 (2021), zero from Q4 2021.</w:t>
      </w:r>
    </w:p>
    <w:p>
      <w:pPr>
        <w:pStyle w:val="BodyText"/>
      </w:pPr>
      <w:r>
        <w:rPr>
          <w:bCs/>
          <w:b/>
        </w:rPr>
        <w:t xml:space="preserve">Collapse Mechanism (Dual Causation)</w:t>
      </w:r>
    </w:p>
    <w:p>
      <w:pPr>
        <w:numPr>
          <w:ilvl w:val="0"/>
          <w:numId w:val="1001"/>
        </w:numPr>
        <w:pStyle w:val="Compact"/>
      </w:pPr>
      <w:r>
        <w:t xml:space="preserve">NCTL force majeure: the Aiteo-operated pipeline became unavailable, severing Eroton’s export route. 2) Internal governance failures: an NNPC forensic audit found non-payment of royalties, mismanagement, and insider dealing.</w:t>
      </w:r>
    </w:p>
    <w:p>
      <w:pPr>
        <w:pStyle w:val="FirstParagraph"/>
      </w:pPr>
      <w:r>
        <w:rPr>
          <w:bCs/>
          <w:b/>
        </w:rPr>
        <w:t xml:space="preserve">Funding</w:t>
      </w:r>
    </w:p>
    <w:p>
      <w:pPr>
        <w:pStyle w:val="BodyText"/>
      </w:pPr>
      <w:r>
        <w:t xml:space="preserve">JV funding was maintained throughout the period.</w:t>
      </w:r>
    </w:p>
    <w:p>
      <w:pPr>
        <w:pStyle w:val="BodyText"/>
      </w:pPr>
      <w:r>
        <w:rPr>
          <w:bCs/>
          <w:b/>
        </w:rPr>
        <w:t xml:space="preserve">Institutional Response</w:t>
      </w:r>
    </w:p>
    <w:p>
      <w:pPr>
        <w:pStyle w:val="BodyText"/>
      </w:pPr>
      <w:r>
        <w:t xml:space="preserve">NNPC took over via NNPC Eighteen Operating Ltd (March 2023). EFCC investigation ongoing. Communities described the takeover as a</w:t>
      </w:r>
      <w:r>
        <w:t xml:space="preserve"> </w:t>
      </w:r>
      <w:r>
        <w:t xml:space="preserve">‘</w:t>
      </w:r>
      <w:r>
        <w:t xml:space="preserve">new lease of life.</w:t>
      </w:r>
      <w:r>
        <w:t xml:space="preserve">’</w:t>
      </w:r>
    </w:p>
    <w:p>
      <w:pPr>
        <w:pStyle w:val="BodyText"/>
      </w:pPr>
      <w:r>
        <w:rPr>
          <w:bCs/>
          <w:b/>
        </w:rPr>
        <w:t xml:space="preserve">Investor Impact</w:t>
      </w:r>
    </w:p>
    <w:p>
      <w:pPr>
        <w:pStyle w:val="BodyText"/>
      </w:pPr>
      <w:r>
        <w:t xml:space="preserve">San Leon Energy (listed, indirect interest) reported pipeline losses of 18-35% and an $8.9 million loss in H1 2022.</w:t>
      </w:r>
    </w:p>
    <w:bookmarkEnd w:id="21"/>
    <w:bookmarkStart w:id="22" w:name="first-hydrocarbon-afren-oml-26"/>
    <w:p>
      <w:pPr>
        <w:pStyle w:val="Heading3"/>
      </w:pPr>
      <w:r>
        <w:t xml:space="preserve">First Hydrocarbon, Afren, OML 26</w:t>
      </w:r>
    </w:p>
    <w:p>
      <w:pPr>
        <w:pStyle w:val="FirstParagraph"/>
      </w:pPr>
      <w:r>
        <w:rPr>
          <w:bCs/>
          <w:b/>
        </w:rPr>
        <w:t xml:space="preserve">Acquisition:</w:t>
      </w:r>
      <w:r>
        <w:t xml:space="preserve"> </w:t>
      </w:r>
      <w:r>
        <w:t xml:space="preserve">Shell sold 45% of OML 26 in 2011 to FHN, an SPV created by Afren Plc (FTSE 250, valued at $2.6 billion at peak).</w:t>
      </w:r>
    </w:p>
    <w:p>
      <w:pPr>
        <w:pStyle w:val="BodyText"/>
      </w:pPr>
      <w:r>
        <w:rPr>
          <w:bCs/>
          <w:b/>
        </w:rPr>
        <w:t xml:space="preserve">Corporate Fraud</w:t>
      </w:r>
    </w:p>
    <w:p>
      <w:pPr>
        <w:pStyle w:val="BodyText"/>
      </w:pPr>
      <w:r>
        <w:t xml:space="preserve">CEO Osman Shahenshah and COO Shahid Ullah were convicted by the UK Serious Fraud Office for fraud and money laundering. Custodial terms: up to six and five years, served concurrently. Laundered $45 million from a $300 million deal. Both banned as directors for 14 years.</w:t>
      </w:r>
    </w:p>
    <w:p>
      <w:pPr>
        <w:pStyle w:val="BodyText"/>
      </w:pPr>
      <w:r>
        <w:rPr>
          <w:bCs/>
          <w:b/>
        </w:rPr>
        <w:t xml:space="preserve">Financial Collapse</w:t>
      </w:r>
    </w:p>
    <w:p>
      <w:pPr>
        <w:pStyle w:val="BodyText"/>
      </w:pPr>
      <w:r>
        <w:t xml:space="preserve">Afren entered administration July 2015. Nigerian banks lost N36.63 billion ($185 million). Administrators attempted to redirect environmental cleanup funds to bondholders.</w:t>
      </w:r>
    </w:p>
    <w:p>
      <w:pPr>
        <w:pStyle w:val="BodyText"/>
      </w:pPr>
      <w:r>
        <w:rPr>
          <w:bCs/>
          <w:b/>
        </w:rPr>
        <w:t xml:space="preserve">Institutional Rescue</w:t>
      </w:r>
    </w:p>
    <w:p>
      <w:pPr>
        <w:pStyle w:val="BodyText"/>
      </w:pPr>
      <w:r>
        <w:t xml:space="preserve">NNPC formed an Asset Management Team (2016) to rescue OML 26. NPDC became operator.</w:t>
      </w:r>
    </w:p>
    <w:p>
      <w:pPr>
        <w:pStyle w:val="BodyText"/>
      </w:pPr>
      <w:r>
        <w:rPr>
          <w:bCs/>
          <w:b/>
        </w:rPr>
        <w:t xml:space="preserve">Secondary-Source Observation</w:t>
      </w:r>
    </w:p>
    <w:p>
      <w:pPr>
        <w:pStyle w:val="BodyText"/>
      </w:pPr>
      <w:r>
        <w:t xml:space="preserve">Cambridge Business and Human Rights Journal:</w:t>
      </w:r>
      <w:r>
        <w:t xml:space="preserve"> </w:t>
      </w:r>
      <w:r>
        <w:t xml:space="preserve">‘</w:t>
      </w:r>
      <w:r>
        <w:t xml:space="preserve">Several companies to which Shell has sold OML stakes have faced financial difficulties.</w:t>
      </w:r>
      <w:r>
        <w:t xml:space="preserve">’</w:t>
      </w:r>
    </w:p>
    <w:bookmarkEnd w:id="22"/>
    <w:bookmarkStart w:id="23" w:name="seplat-omls-4-38-41"/>
    <w:p>
      <w:pPr>
        <w:pStyle w:val="Heading3"/>
      </w:pPr>
      <w:r>
        <w:t xml:space="preserve">Seplat, OMLs 4, 38, 41</w:t>
      </w:r>
    </w:p>
    <w:p>
      <w:pPr>
        <w:pStyle w:val="FirstParagraph"/>
      </w:pPr>
      <w:r>
        <w:rPr>
          <w:bCs/>
          <w:b/>
        </w:rPr>
        <w:t xml:space="preserve">Acquisition:</w:t>
      </w:r>
      <w:r>
        <w:t xml:space="preserve"> </w:t>
      </w:r>
      <w:r>
        <w:t xml:space="preserve">Shell sold 45% of OMLs 4, 38, 41 in July 2010. Seplat acquired ExxonMobil’s Mobil Producing Nigeria (shallow water) for $1.28 billion in 2024.</w:t>
      </w:r>
    </w:p>
    <w:p>
      <w:pPr>
        <w:pStyle w:val="BodyText"/>
      </w:pPr>
      <w:r>
        <w:rPr>
          <w:bCs/>
          <w:b/>
        </w:rPr>
        <w:t xml:space="preserve">Performance</w:t>
      </w:r>
    </w:p>
    <w:p>
      <w:pPr>
        <w:pStyle w:val="BodyText"/>
      </w:pPr>
      <w:r>
        <w:t xml:space="preserve">Peak production: 85,200 bpd. Nearly doubled reserves by end 2015. 2 million man-hours without a recordable incident. AfriSAFE Energy Company of the Year 2024. Built the Oben Gas Plant (465 MMscfd), Sapele Gas Plant (85 MMscfd), and Amukpe-Escravos pipeline (160,000 bpd capacity).</w:t>
      </w:r>
    </w:p>
    <w:p>
      <w:pPr>
        <w:pStyle w:val="BodyText"/>
      </w:pPr>
      <w:r>
        <w:rPr>
          <w:bCs/>
          <w:b/>
        </w:rPr>
        <w:t xml:space="preserve">Absorptive Capacity</w:t>
      </w:r>
    </w:p>
    <w:p>
      <w:pPr>
        <w:numPr>
          <w:ilvl w:val="0"/>
          <w:numId w:val="1002"/>
        </w:numPr>
        <w:pStyle w:val="Compact"/>
      </w:pPr>
      <w:r>
        <w:t xml:space="preserve">Founding team (Orjiako, Avuru) with decades of industry experience. 2) Maurel et Prom (French E&amp;P) acquired 45% pre-IPO, providing international technical partnership. 3) Dual LSE/NSE listing imposed governance discipline.</w:t>
      </w:r>
    </w:p>
    <w:p>
      <w:pPr>
        <w:pStyle w:val="FirstParagraph"/>
      </w:pPr>
      <w:r>
        <w:rPr>
          <w:bCs/>
          <w:b/>
        </w:rPr>
        <w:t xml:space="preserve">Training Centre Provenance</w:t>
      </w:r>
    </w:p>
    <w:p>
      <w:pPr>
        <w:pStyle w:val="BodyText"/>
      </w:pPr>
      <w:r>
        <w:t xml:space="preserve">The Transitional Training Centre (TTC) at Eket was Mobil Producing Nigeria’s program, established in 1995 and acquired through the 2024 ExxonMobil deal, not through the 2010 Shell transaction.</w:t>
      </w:r>
    </w:p>
    <w:bookmarkEnd w:id="23"/>
    <w:bookmarkStart w:id="24" w:name="shoreline-heritage-oil-oml-30"/>
    <w:p>
      <w:pPr>
        <w:pStyle w:val="Heading3"/>
      </w:pPr>
      <w:r>
        <w:t xml:space="preserve">Shoreline, Heritage Oil, OML 30</w:t>
      </w:r>
    </w:p>
    <w:p>
      <w:pPr>
        <w:pStyle w:val="FirstParagraph"/>
      </w:pPr>
      <w:r>
        <w:rPr>
          <w:bCs/>
          <w:b/>
        </w:rPr>
        <w:t xml:space="preserve">Acquisition:</w:t>
      </w:r>
      <w:r>
        <w:t xml:space="preserve"> </w:t>
      </w:r>
      <w:r>
        <w:t xml:space="preserve">Shell, Total, and Eni sold 45% for $850 million (November 2012). NPDC held 55% and initially operated.</w:t>
      </w:r>
    </w:p>
    <w:p>
      <w:pPr>
        <w:pStyle w:val="BodyText"/>
      </w:pPr>
      <w:r>
        <w:rPr>
          <w:bCs/>
          <w:b/>
        </w:rPr>
        <w:t xml:space="preserve">Performance Under NPDC (2012-2017)</w:t>
      </w:r>
    </w:p>
    <w:p>
      <w:pPr>
        <w:pStyle w:val="BodyText"/>
      </w:pPr>
      <w:r>
        <w:t xml:space="preserve">Average production 25,000-45,000 bopd. NPDC operated on behalf of the JV.</w:t>
      </w:r>
    </w:p>
    <w:p>
      <w:pPr>
        <w:pStyle w:val="BodyText"/>
      </w:pPr>
      <w:r>
        <w:rPr>
          <w:bCs/>
          <w:b/>
        </w:rPr>
        <w:t xml:space="preserve">Performance Under HEOSL (2017-present)</w:t>
      </w:r>
    </w:p>
    <w:p>
      <w:pPr>
        <w:pStyle w:val="BodyText"/>
      </w:pPr>
      <w:r>
        <w:t xml:space="preserve">The government approved transfer of operatorship to Heritage Energy Operational Services Ltd (HEOSL) in 2017. HEOSL embarked on aggressive rehabilitation: equipment upgrade, gas compressor installation, pressure vessel inspection, wellhead and pipeline inspection, and well optimization. Gross production grew to 80,000 bopd, nearly doubling from NPDC-era levels.</w:t>
      </w:r>
    </w:p>
    <w:bookmarkEnd w:id="24"/>
    <w:bookmarkStart w:id="25" w:name="npdc-nepl-portfolio"/>
    <w:p>
      <w:pPr>
        <w:pStyle w:val="Heading3"/>
      </w:pPr>
      <w:r>
        <w:t xml:space="preserve">NPDC, NEPL Portfolio</w:t>
      </w:r>
    </w:p>
    <w:p>
      <w:pPr>
        <w:pStyle w:val="FirstParagraph"/>
      </w:pPr>
      <w:r>
        <w:rPr>
          <w:bCs/>
          <w:b/>
        </w:rPr>
        <w:t xml:space="preserve">Portfolio:</w:t>
      </w:r>
      <w:r>
        <w:t xml:space="preserve"> </w:t>
      </w:r>
      <w:r>
        <w:t xml:space="preserve">55% equity in 8+ Shell-divested OMLs. 29 concessions including 22 OMLs and 7 OPLs.</w:t>
      </w:r>
    </w:p>
    <w:p>
      <w:pPr>
        <w:pStyle w:val="BodyText"/>
      </w:pPr>
      <w:r>
        <w:rPr>
          <w:bCs/>
          <w:b/>
        </w:rPr>
        <w:t xml:space="preserve">Production Target Failure</w:t>
      </w:r>
    </w:p>
    <w:p>
      <w:pPr>
        <w:pStyle w:val="BodyText"/>
      </w:pPr>
      <w:r>
        <w:t xml:space="preserve">2017: 180,000 bpd equity production. Target: 500,000 bpd by 2020. Reached 332,000 bpd average by late 2018. The 500,000 bpd target was never achieved. National production fell to record lows of approximately 1 million bpd by September 2022.</w:t>
      </w:r>
    </w:p>
    <w:p>
      <w:pPr>
        <w:pStyle w:val="BodyText"/>
      </w:pPr>
      <w:r>
        <w:rPr>
          <w:bCs/>
          <w:b/>
        </w:rPr>
        <w:t xml:space="preserve">Technical Efficiency</w:t>
      </w:r>
    </w:p>
    <w:p>
      <w:pPr>
        <w:pStyle w:val="BodyText"/>
      </w:pPr>
      <w:r>
        <w:t xml:space="preserve">Academic study (Adekunle et al. 2019): NNPC/NPDC technical efficiency rated at 23%, the lowest of all operator categories. JV/IOC operators: 75%. Marginal field operators: 67%.</w:t>
      </w:r>
    </w:p>
    <w:p>
      <w:pPr>
        <w:pStyle w:val="BodyText"/>
      </w:pPr>
      <w:r>
        <w:rPr>
          <w:bCs/>
          <w:b/>
        </w:rPr>
        <w:t xml:space="preserve">Safety Incidents</w:t>
      </w:r>
    </w:p>
    <w:p>
      <w:pPr>
        <w:pStyle w:val="BodyText"/>
      </w:pPr>
      <w:r>
        <w:t xml:space="preserve">BRVS explosion (July 7, 2020, OML 40): 7 fatalities during ladder installation; NPDC was operator; workers from contractors Weld Affairs and Flow Impact. October 2023: abandoned well explosion in OML 66 under NPDC operation. Top spillage contributor in 2016 (NOSDRA data).</w:t>
      </w:r>
    </w:p>
    <w:p>
      <w:pPr>
        <w:pStyle w:val="BodyText"/>
      </w:pPr>
      <w:r>
        <w:rPr>
          <w:bCs/>
          <w:b/>
        </w:rPr>
        <w:t xml:space="preserve">Cross-OML Pattern</w:t>
      </w:r>
    </w:p>
    <w:p>
      <w:pPr>
        <w:pStyle w:val="BodyText"/>
      </w:pPr>
      <w:r>
        <w:t xml:space="preserve">OML 30: production doubled after HEOSL took over from NPDC. OML 40: fatal explosion under NPDC operation. OML 42: Neconde alleged NPDC lacked capacity after production declined from 30,000 bpd.</w:t>
      </w:r>
    </w:p>
    <w:bookmarkEnd w:id="25"/>
    <w:bookmarkStart w:id="26" w:name="neconde-oml-42"/>
    <w:p>
      <w:pPr>
        <w:pStyle w:val="Heading3"/>
      </w:pPr>
      <w:r>
        <w:t xml:space="preserve">Neconde, OML 42</w:t>
      </w:r>
    </w:p>
    <w:p>
      <w:pPr>
        <w:pStyle w:val="FirstParagraph"/>
      </w:pPr>
      <w:r>
        <w:rPr>
          <w:bCs/>
          <w:b/>
        </w:rPr>
        <w:t xml:space="preserve">Acquisition:</w:t>
      </w:r>
      <w:r>
        <w:t xml:space="preserve"> </w:t>
      </w:r>
      <w:r>
        <w:t xml:space="preserve">Shell sold 45% for $585 million (2011). Consortium: Nestoil, Aries Energy, VP Global, Kulczyk.</w:t>
      </w:r>
    </w:p>
    <w:p>
      <w:pPr>
        <w:pStyle w:val="BodyText"/>
      </w:pPr>
      <w:r>
        <w:t xml:space="preserve">NPDC operated 2011-2015; production declined. Neconde took over operatorship May 2015 and grew production from 10,000 to 50,000 bpd.</w:t>
      </w:r>
    </w:p>
    <w:bookmarkEnd w:id="26"/>
    <w:bookmarkStart w:id="27" w:name="elcrest-oml-40"/>
    <w:p>
      <w:pPr>
        <w:pStyle w:val="Heading3"/>
      </w:pPr>
      <w:r>
        <w:t xml:space="preserve">Elcrest, OML 40</w:t>
      </w:r>
    </w:p>
    <w:p>
      <w:pPr>
        <w:pStyle w:val="FirstParagraph"/>
      </w:pPr>
      <w:r>
        <w:rPr>
          <w:bCs/>
          <w:b/>
        </w:rPr>
        <w:t xml:space="preserve">Acquisition:</w:t>
      </w:r>
      <w:r>
        <w:t xml:space="preserve"> </w:t>
      </w:r>
      <w:r>
        <w:t xml:space="preserve">Shell sold 45% (2012). JV: Starcrest 55%, Eland Oil (UK) 45%. Seplat acquired Eland December 2019.</w:t>
      </w:r>
    </w:p>
    <w:p>
      <w:pPr>
        <w:pStyle w:val="BodyText"/>
      </w:pPr>
      <w:r>
        <w:t xml:space="preserve">The BRVS fatal explosion occurred under NPDC operation, not Elcrest management; the case is primarily NPDC evidence.</w:t>
      </w:r>
    </w:p>
    <w:bookmarkEnd w:id="27"/>
    <w:bookmarkStart w:id="28" w:name="renaissance-spdc-jv"/>
    <w:p>
      <w:pPr>
        <w:pStyle w:val="Heading3"/>
      </w:pPr>
      <w:r>
        <w:t xml:space="preserve">Renaissance, SPDC JV</w:t>
      </w:r>
    </w:p>
    <w:p>
      <w:pPr>
        <w:pStyle w:val="FirstParagraph"/>
      </w:pPr>
      <w:r>
        <w:rPr>
          <w:bCs/>
          <w:b/>
        </w:rPr>
        <w:t xml:space="preserve">Future test, not confirmatory:</w:t>
      </w:r>
      <w:r>
        <w:t xml:space="preserve"> </w:t>
      </w:r>
      <w:r>
        <w:t xml:space="preserve">capability preservation applied deliberately from 2025; the outcome is too recent to confirm and is treated as a future test and design contrast, not as present evidence.</w:t>
      </w:r>
    </w:p>
    <w:p>
      <w:pPr>
        <w:pStyle w:val="BodyText"/>
      </w:pPr>
      <w:r>
        <w:rPr>
          <w:bCs/>
          <w:b/>
        </w:rPr>
        <w:t xml:space="preserve">Acquisition:</w:t>
      </w:r>
      <w:r>
        <w:t xml:space="preserve"> </w:t>
      </w:r>
      <w:r>
        <w:t xml:space="preserve">100% of SPDC (18 OMLs) for $1.3 billion ($2.4 billion total). Completed March 2025.</w:t>
      </w:r>
    </w:p>
    <w:p>
      <w:pPr>
        <w:pStyle w:val="BodyText"/>
      </w:pPr>
      <w:r>
        <w:rPr>
          <w:bCs/>
          <w:b/>
        </w:rPr>
        <w:t xml:space="preserve">Capability Preservation Mechanisms</w:t>
      </w:r>
    </w:p>
    <w:p>
      <w:pPr>
        <w:numPr>
          <w:ilvl w:val="0"/>
          <w:numId w:val="1003"/>
        </w:numPr>
        <w:pStyle w:val="Compact"/>
      </w:pPr>
      <w:r>
        <w:t xml:space="preserve">Staff retention: SPDC staff continued employment under new ownership; leadership comprised former Shell staff; Renaissance explicitly chose not to replace IOC workers. 2) Shell provided $1.2 billion in secured term loans plus $1.3 billion for gas development and decommissioning. 3) Shell retained a supporting role in NLNG-related facility management.</w:t>
      </w:r>
    </w:p>
    <w:p>
      <w:pPr>
        <w:pStyle w:val="FirstParagraph"/>
      </w:pPr>
      <w:r>
        <w:rPr>
          <w:bCs/>
          <w:b/>
        </w:rPr>
        <w:t xml:space="preserve">Early Performance Indicators</w:t>
      </w:r>
    </w:p>
    <w:p>
      <w:pPr>
        <w:pStyle w:val="BodyText"/>
      </w:pPr>
      <w:r>
        <w:t xml:space="preserve">Already at 200,000+ bpd. All pipelines operational by April 12, 2025. Contractors being paid on time.</w:t>
      </w:r>
    </w:p>
    <w:p>
      <w:pPr>
        <w:pStyle w:val="BodyText"/>
      </w:pPr>
      <w:r>
        <w:rPr>
          <w:bCs/>
          <w:b/>
        </w:rPr>
        <w:t xml:space="preserve">Deliberate Learning from Failure</w:t>
      </w:r>
    </w:p>
    <w:p>
      <w:pPr>
        <w:pStyle w:val="BodyText"/>
      </w:pPr>
      <w:r>
        <w:t xml:space="preserve">Renaissance leadership explicitly studied why previous buyers of IOC assets had failed. Africa Oil &amp; Gas Report: the capability-preservation commitment</w:t>
      </w:r>
      <w:r>
        <w:t xml:space="preserve"> </w:t>
      </w:r>
      <w:r>
        <w:t xml:space="preserve">‘</w:t>
      </w:r>
      <w:r>
        <w:t xml:space="preserve">has never made it to any press release in 15 years of divestments.</w:t>
      </w:r>
      <w:r>
        <w:t xml:space="preserve">’</w:t>
      </w:r>
    </w:p>
    <w:p>
      <w:pPr>
        <w:pStyle w:val="BodyText"/>
      </w:pPr>
      <w:r>
        <w:rPr>
          <w:bCs/>
          <w:b/>
        </w:rPr>
        <w:t xml:space="preserve">Institutional Context</w:t>
      </w:r>
    </w:p>
    <w:p>
      <w:pPr>
        <w:pStyle w:val="BodyText"/>
      </w:pPr>
      <w:r>
        <w:t xml:space="preserve">First IOC divestment assessed under NUPRC’s new 7-pillar framework (2024). Ministerial consent required extensive regulatory review.</w:t>
      </w:r>
    </w:p>
    <w:bookmarkEnd w:id="28"/>
    <w:bookmarkStart w:id="29" w:name="shebah-fpso"/>
    <w:p>
      <w:pPr>
        <w:pStyle w:val="Heading3"/>
      </w:pPr>
      <w:r>
        <w:t xml:space="preserve">Shebah FPSO</w:t>
      </w:r>
    </w:p>
    <w:p>
      <w:pPr>
        <w:pStyle w:val="FirstParagraph"/>
      </w:pPr>
      <w:r>
        <w:t xml:space="preserve">2022 explosion at a nearly 50-year-old FPSO vessel operated by a DOC.</w:t>
      </w:r>
      <w:r>
        <w:t xml:space="preserve"> </w:t>
      </w:r>
      <w:r>
        <w:t xml:space="preserve">‘</w:t>
      </w:r>
      <w:r>
        <w:t xml:space="preserve">Most if not all of the big trading companies stopped using it several years ago.</w:t>
      </w:r>
      <w:r>
        <w:t xml:space="preserve">’</w:t>
      </w:r>
      <w:r>
        <w:t xml:space="preserve"> </w:t>
      </w:r>
      <w:r>
        <w:t xml:space="preserve">Exploded with approximately 60,000 barrels on board. 10 crew dead or missing. SDN:</w:t>
      </w:r>
      <w:r>
        <w:t xml:space="preserve"> </w:t>
      </w:r>
      <w:r>
        <w:t xml:space="preserve">‘</w:t>
      </w:r>
      <w:r>
        <w:t xml:space="preserve">DOCs could be content operating aged infrastructure to the point of environmental and human disaster.</w:t>
      </w:r>
      <w:r>
        <w:t xml:space="preserve">’</w:t>
      </w:r>
    </w:p>
    <w:bookmarkEnd w:id="29"/>
    <w:bookmarkEnd w:id="30"/>
    <w:bookmarkStart w:id="35" w:name="marginal-field-program-evidence"/>
    <w:p>
      <w:pPr>
        <w:pStyle w:val="Heading2"/>
      </w:pPr>
      <w:r>
        <w:t xml:space="preserve">Marginal Field Program Evidence</w:t>
      </w:r>
    </w:p>
    <w:p>
      <w:pPr>
        <w:pStyle w:val="FirstParagraph"/>
      </w:pPr>
      <w:r>
        <w:t xml:space="preserve">The marginal field program is a parallel, independent case of the same institutional failure, predating the IOC divestment wave by a decade.</w:t>
      </w:r>
    </w:p>
    <w:bookmarkStart w:id="31" w:name="program-overview"/>
    <w:p>
      <w:pPr>
        <w:pStyle w:val="Heading3"/>
      </w:pPr>
      <w:r>
        <w:t xml:space="preserve">Program Overview</w:t>
      </w:r>
    </w:p>
    <w:p>
      <w:pPr>
        <w:pStyle w:val="FirstParagraph"/>
      </w:pPr>
      <w:r>
        <w:t xml:space="preserve">Conceived 2001. Objective: promote indigenous participation in the upstream sector, build technical capacity, and grow reserves and production. First round 2003: 24 fields awarded to 31 indigenous companies from the 116 identified marginal fields. Estimated total marginal field reserves: 2.3 billion barrels crude oil.</w:t>
      </w:r>
    </w:p>
    <w:bookmarkEnd w:id="31"/>
    <w:bookmarkStart w:id="32" w:name="performance-outcomes"/>
    <w:p>
      <w:pPr>
        <w:pStyle w:val="Heading3"/>
      </w:pPr>
      <w:r>
        <w:t xml:space="preserve">Performance Outcomes</w:t>
      </w:r>
    </w:p>
    <w:p>
      <w:pPr>
        <w:pStyle w:val="FirstParagraph"/>
      </w:pPr>
      <w:r>
        <w:t xml:space="preserve">By 2013 (10 years): less than 30% of awarded fields producing (Idigbe et al. 2013). By 2014 (11 years): approximately 65% of fields undeveloped (Sweet Crude Reports). By 2020 (17 years): only 9 of 30 awarded fields producing. 11 operators lost licenses for failure to meet government criteria. The program contributed only 2% to national oil and gas reserves. DPR acknowledged Nigeria</w:t>
      </w:r>
      <w:r>
        <w:t xml:space="preserve"> </w:t>
      </w:r>
      <w:r>
        <w:t xml:space="preserve">‘</w:t>
      </w:r>
      <w:r>
        <w:t xml:space="preserve">didn’t benefit from 2003 marginal field bid rounds.</w:t>
      </w:r>
      <w:r>
        <w:t xml:space="preserve">’</w:t>
      </w:r>
    </w:p>
    <w:bookmarkEnd w:id="32"/>
    <w:bookmarkStart w:id="33" w:name="bid-round"/>
    <w:p>
      <w:pPr>
        <w:pStyle w:val="Heading3"/>
      </w:pPr>
      <w:r>
        <w:t xml:space="preserve">2020 Bid Round</w:t>
      </w:r>
    </w:p>
    <w:p>
      <w:pPr>
        <w:pStyle w:val="FirstParagraph"/>
      </w:pPr>
      <w:r>
        <w:t xml:space="preserve">57 fields awarded. 665 applications received, 540 pre-qualified, 161 shortlisted, 119 fully paid, 33 awardees failed to pay signature bonuses (approximately $500 million total). The program was described as</w:t>
      </w:r>
      <w:r>
        <w:t xml:space="preserve"> </w:t>
      </w:r>
      <w:r>
        <w:t xml:space="preserve">‘</w:t>
      </w:r>
      <w:r>
        <w:t xml:space="preserve">at a crossroads</w:t>
      </w:r>
      <w:r>
        <w:t xml:space="preserve">’</w:t>
      </w:r>
      <w:r>
        <w:t xml:space="preserve"> </w:t>
      </w:r>
      <w:r>
        <w:t xml:space="preserve">with</w:t>
      </w:r>
      <w:r>
        <w:t xml:space="preserve"> </w:t>
      </w:r>
      <w:r>
        <w:t xml:space="preserve">‘</w:t>
      </w:r>
      <w:r>
        <w:t xml:space="preserve">legal ambiguities, financial bottlenecks, and infrastructure gaps.</w:t>
      </w:r>
      <w:r>
        <w:t xml:space="preserve">’</w:t>
      </w:r>
    </w:p>
    <w:bookmarkEnd w:id="33"/>
    <w:bookmarkStart w:id="34" w:name="Xcb893df54677a9894a3e23e0f740314603a376a"/>
    <w:p>
      <w:pPr>
        <w:pStyle w:val="Heading3"/>
      </w:pPr>
      <w:r>
        <w:t xml:space="preserve">Academic Evidence on Marginal Field Capability</w:t>
      </w:r>
    </w:p>
    <w:p>
      <w:pPr>
        <w:pStyle w:val="FirstParagraph"/>
      </w:pPr>
      <w:r>
        <w:t xml:space="preserve">Oriaku et al. (2016): only 44% of 18 indigenous companies sampled scored the mandatory 60% minimum required for technical qualification in tubing inspection services. Adekunle et al. (2019): marginal field operators 67% technical efficiency vs. JV/IOC 75% vs. NNPC 23%. Danmadami et al. (2021): 50% developed and producing, 13% some progress, 37% undeveloped. Akinwale et al. (2022): collaboration between oil and gas firms and financial institutions, government agencies, and universities was low across all categories.</w:t>
      </w:r>
    </w:p>
    <w:bookmarkEnd w:id="34"/>
    <w:bookmarkEnd w:id="35"/>
    <w:bookmarkEnd w:id="3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asciiTheme="majorHAnsi" w:cstheme="majorBidi" w:eastAsiaTheme="majorEastAsia" w:hAnsi="Times New Roman"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2026-06-22T17:23:17Z</dcterms:created>
  <dcterms:modified xsi:type="dcterms:W3CDTF">2026-06-22T17:23:17Z</dcterms:modified>
</cp:coreProperties>
</file>

<file path=docProps/custom.xml><?xml version="1.0" encoding="utf-8"?>
<Properties xmlns="http://schemas.openxmlformats.org/officeDocument/2006/custom-properties" xmlns:vt="http://schemas.openxmlformats.org/officeDocument/2006/docPropsVTypes"/>
</file>