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0"/>
        <w:gridCol w:w="3827"/>
        <w:gridCol w:w="1585"/>
        <w:gridCol w:w="1392"/>
        <w:tblGridChange w:id="0">
          <w:tblGrid>
            <w:gridCol w:w="3970"/>
            <w:gridCol w:w="3827"/>
            <w:gridCol w:w="1585"/>
            <w:gridCol w:w="1392"/>
          </w:tblGrid>
        </w:tblGridChange>
      </w:tblGrid>
      <w:tr>
        <w:trPr>
          <w:cantSplit w:val="1"/>
          <w:trHeight w:val="293" w:hRule="atLeast"/>
          <w:tblHeader w:val="0"/>
        </w:trPr>
        <w:tc>
          <w:tcPr>
            <w:gridSpan w:val="2"/>
            <w:vMerge w:val="restart"/>
            <w:shd w:fill="5f497a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ESKAERA ORRIA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kudeatzaile@uni.eus</w:t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gridSpan w:val="2"/>
            <w:vMerge w:val="continue"/>
            <w:shd w:fill="5f497a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CIF S/4833001C</w:t>
            </w:r>
          </w:p>
        </w:tc>
      </w:tr>
      <w:tr>
        <w:trPr>
          <w:cantSplit w:val="1"/>
          <w:trHeight w:val="548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Fakturan zein emate-agirian eskaera zenbakia agertu beharko da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Eskaera Zk.</w:t>
            </w:r>
          </w:p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1"/>
          <w:trHeight w:val="52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Sailburu Eskatzailearen izena</w:t>
            </w:r>
          </w:p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IKER HERRÁN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3118"/>
        <w:gridCol w:w="1276"/>
        <w:gridCol w:w="4253"/>
        <w:tblGridChange w:id="0">
          <w:tblGrid>
            <w:gridCol w:w="2127"/>
            <w:gridCol w:w="3118"/>
            <w:gridCol w:w="1276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ccc0d9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HORNITZAILEA</w:t>
            </w:r>
          </w:p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PC COMPONENTES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0d9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Harremana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0d9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ccc0d9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Telefonoa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0d9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orria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www.pccomponentes.com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8"/>
        <w:gridCol w:w="2125"/>
        <w:gridCol w:w="1836"/>
        <w:gridCol w:w="3831"/>
        <w:gridCol w:w="1875"/>
        <w:gridCol w:w="44"/>
        <w:tblGridChange w:id="0">
          <w:tblGrid>
            <w:gridCol w:w="1068"/>
            <w:gridCol w:w="2125"/>
            <w:gridCol w:w="1836"/>
            <w:gridCol w:w="3831"/>
            <w:gridCol w:w="1875"/>
            <w:gridCol w:w="44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ccc0d9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ESKAERA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" w:hRule="atLeast"/>
          <w:tblHeader w:val="0"/>
        </w:trPr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Kopurua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dfec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Erreferentzia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dfec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Kontzeptua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5dfec" w:val="clear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Zenbatekoa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(Gutxi gorabehera)</w:t>
            </w:r>
          </w:p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Unitateko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10740897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rPr>
                <w:vertAlign w:val="baseli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Synology DiskStation DS223J NAS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10840450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PcCom Essential Bobina Cable de Red RJ45 Cat6 UTP CCA AWG24 hasta Mbps 100m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37,99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gridSpan w:val="6"/>
            <w:shd w:fill="e5dfec" w:val="clear"/>
            <w:vAlign w:val="top"/>
          </w:tcPr>
          <w:p w:rsidR="00000000" w:rsidDel="00000000" w:rsidP="00000000" w:rsidRDefault="00000000" w:rsidRPr="00000000" w14:paraId="0000009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Oharrak: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5dfec" w:val="clear"/>
            <w:vAlign w:val="top"/>
          </w:tcPr>
          <w:p w:rsidR="00000000" w:rsidDel="00000000" w:rsidP="00000000" w:rsidRDefault="00000000" w:rsidRPr="00000000" w14:paraId="0000009A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Entrega leku /pertsona: AITOR ARETXA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5dfec" w:val="clear"/>
            <w:vAlign w:val="top"/>
          </w:tcPr>
          <w:p w:rsidR="00000000" w:rsidDel="00000000" w:rsidP="00000000" w:rsidRDefault="00000000" w:rsidRPr="00000000" w14:paraId="0000009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Intzidentziak: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95"/>
        <w:gridCol w:w="6379"/>
        <w:tblGridChange w:id="0">
          <w:tblGrid>
            <w:gridCol w:w="4395"/>
            <w:gridCol w:w="6379"/>
          </w:tblGrid>
        </w:tblGridChange>
      </w:tblGrid>
      <w:tr>
        <w:trPr>
          <w:cantSplit w:val="0"/>
          <w:trHeight w:val="1763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Erosketaburua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013.0" w:type="dxa"/>
              <w:jc w:val="left"/>
              <w:tblLayout w:type="fixed"/>
              <w:tblLook w:val="0000"/>
            </w:tblPr>
            <w:tblGrid>
              <w:gridCol w:w="3013"/>
              <w:tblGridChange w:id="0">
                <w:tblGrid>
                  <w:gridCol w:w="3013"/>
                </w:tblGrid>
              </w:tblGridChange>
            </w:tblGrid>
            <w:tr>
              <w:trPr>
                <w:cantSplit w:val="0"/>
                <w:trHeight w:val="1238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4">
                  <w:pPr>
                    <w:ind w:left="-212" w:firstLine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Administratzaileak baimendua: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224.0" w:type="dxa"/>
              <w:jc w:val="left"/>
              <w:tblLayout w:type="fixed"/>
              <w:tblLook w:val="0000"/>
            </w:tblPr>
            <w:tblGrid>
              <w:gridCol w:w="6224"/>
              <w:tblGridChange w:id="0">
                <w:tblGrid>
                  <w:gridCol w:w="6224"/>
                </w:tblGrid>
              </w:tblGridChange>
            </w:tblGrid>
            <w:tr>
              <w:trPr>
                <w:cantSplit w:val="0"/>
                <w:trHeight w:val="1187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7">
                  <w:pPr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Lekua, data, sinadura eta zigilua:</w:t>
            </w:r>
          </w:p>
          <w:p w:rsidR="00000000" w:rsidDel="00000000" w:rsidP="00000000" w:rsidRDefault="00000000" w:rsidRPr="00000000" w14:paraId="000000A9">
            <w:pPr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jc w:val="both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color w:val="3c4043"/>
                <w:sz w:val="10"/>
                <w:szCs w:val="10"/>
                <w:highlight w:val="white"/>
                <w:vertAlign w:val="baseline"/>
                <w:rtl w:val="0"/>
              </w:rPr>
              <w:t xml:space="preserve">COMUNICACIÓN CRITERIOS EVALUACIÓN DE PROVEEDORES: CIFP Uni Eibar-Ermua BHII se encuentra certificado bajo la norma ISO 9001:2015. De acuerdo a ello, el Sistema de Gestión de la Calidad de nuestro centro requiere el registro de y cumplimiento de la Selección y Evaluación de Proveedores. Nos corresponde informarles acerca de los mecanismos dispuestos por nuestro centro para tal efecto. En este sentido, el CIFP Uni Eibar-Ermua BHII tiene establecido un procedimiento para el control y seguimiento del desempeño de los proveedores externos basado en un indicador que de manera anual lo califica como excelente, bueno, aceptable o deficiente. El indicador se obtiene a partir de la ponderación de los siguientes criterios: 1) Criterios técnicos: cumplimiento del plazo de entrega, incidencias (leves, moderadas o graves), capacidad técnica del proveedor, garantía y servicio post-venta. 2) Criterios comerciales y económicos: precio en relación con la competencia y formas y plazos de pago. 3) Criterios empresariales: trayectoria como proveedor, proximidad, facilidad de entendimiento y volumen de facturación. En caso de incidencias en el seguimiento o que se obtenga la cualificación anual de deficiente, el CIFP Uni Eibar-Ermua BHII contactaría con el proveedor para solicitar a éste posibles acciones que permitan corregir los problemas detectados, pudiéndose llegar a la descatalogación del proveedor si éste no estableciese acciones para la corrección de las deficiencias detectadas.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07" w:orient="portrait"/>
      <w:pgMar w:bottom="500" w:top="567" w:left="851" w:right="1134" w:header="500" w:footer="3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6298565" cy="113792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98565" cy="11379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pccomponentes.com" TargetMode="External"/><Relationship Id="rId7" Type="http://schemas.openxmlformats.org/officeDocument/2006/relationships/hyperlink" Target="https://www.pccomponentes.com/synology-diskstation-ds223j-nas" TargetMode="External"/><Relationship Id="rId8" Type="http://schemas.openxmlformats.org/officeDocument/2006/relationships/hyperlink" Target="https://www.pccomponentes.com/pccom-essential-bobina-cable-de-red-rj45-cat6-utp-cca-awg24-hasta-mbps-100m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