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5734872760b4d70" /></Relationships>
</file>

<file path=word/document.xml><?xml version="1.0" encoding="utf-8"?>
<w:document xmlns:r="http://schemas.openxmlformats.org/officeDocument/2006/relationships" xmlns:w="http://schemas.openxmlformats.org/wordprocessingml/2006/main">
  <w:body>
    <w:p>
      <w:pPr>
        <w:spacing w:before="400" w:after="200"/>
        <w:jc w:val="center"/>
      </w:pPr>
      <w:r>
        <w:rPr>
          <w:b/>
          <w:color w:val="2B3A4E"/>
          <w:sz w:val="36"/>
        </w:rPr>
        <w:t>Employee Training and Development</w:t>
      </w:r>
    </w:p>
    <w:p>
      <w:pPr>
        <w:spacing w:after="200"/>
        <w:jc w:val="center"/>
      </w:pPr>
      <w:r>
        <w:rPr>
          <w:b/>
          <w:color w:val="2B3A4E"/>
          <w:sz w:val="36"/>
        </w:rPr>
        <w:t>Expense Reimbursement Management Policy</w:t>
      </w:r>
    </w:p>
    <w:p>
      <w:pPr>
        <w:spacing w:after="60"/>
        <w:jc w:val="center"/>
      </w:pPr>
      <w:r>
        <w:rPr>
          <w:color w:val="555555"/>
          <w:sz w:val="20"/>
        </w:rPr>
        <w:t>Document No.: HR-POL-2012-007</w:t>
      </w:r>
    </w:p>
    <w:p>
      <w:pPr>
        <w:spacing w:after="60"/>
        <w:jc w:val="center"/>
      </w:pPr>
      <w:r>
        <w:rPr>
          <w:color w:val="555555"/>
          <w:sz w:val="20"/>
        </w:rPr>
        <w:t>Version: V2.0</w:t>
      </w:r>
    </w:p>
    <w:p>
      <w:pPr>
        <w:spacing w:after="60"/>
        <w:jc w:val="center"/>
      </w:pPr>
      <w:r>
        <w:rPr>
          <w:color w:val="555555"/>
          <w:sz w:val="20"/>
        </w:rPr>
        <w:t>Effective Date: September 1, 2012</w:t>
      </w:r>
    </w:p>
    <w:p>
      <w:pPr>
        <w:spacing w:after="60"/>
        <w:jc w:val="center"/>
      </w:pPr>
      <w:r>
        <w:rPr>
          <w:color w:val="555555"/>
          <w:sz w:val="20"/>
        </w:rPr>
        <w:t>Prepared by: Human Resources Department</w:t>
      </w:r>
    </w:p>
    <w:p>
      <w:pPr>
        <w:spacing w:after="60"/>
        <w:jc w:val="center"/>
      </w:pPr>
      <w:r>
        <w:rPr>
          <w:color w:val="555555"/>
          <w:sz w:val="20"/>
        </w:rPr>
        <w:t>Approver: Susan Park (VP, Human Resources)</w:t>
      </w:r>
    </w:p>
    <w:p>
      <w:pPr>
        <w:pStyle w:val="Heading1"/>
      </w:pPr>
      <w:r>
        <w:t>Chapter I General Provisions</w:t>
      </w:r>
    </w:p>
    <w:p>
      <w:pPr>
        <w:spacing w:before="240" w:after="80"/>
      </w:pPr>
      <w:r>
        <w:rPr>
          <w:b/>
          <w:color w:val="2B3A4E"/>
          <w:sz w:val="22"/>
        </w:rPr>
        <w:t>Article 1</w:t>
      </w:r>
    </w:p>
    <w:p>
      <w:r>
        <w:t>This Policy is formulated to support employee career development and skill enhancement, encourage employee participation in work-related training, certification exams, and academic activities, and standardize the reimbursement management of related expenses.</w:t>
      </w:r>
    </w:p>
    <w:p>
      <w:pPr>
        <w:spacing w:before="240" w:after="80"/>
      </w:pPr>
      <w:r>
        <w:rPr>
          <w:b/>
          <w:color w:val="2B3A4E"/>
          <w:sz w:val="22"/>
        </w:rPr>
        <w:t>Article 2</w:t>
      </w:r>
    </w:p>
    <w:p>
      <w:r>
        <w:t>This Policy applies to all regular full-time employees (excluding interns and temporary employees) of the company for expense reimbursement arising from company-approved training courses, professional certification exams, academic conferences, and professional seminars.</w:t>
      </w:r>
    </w:p>
    <w:p>
      <w:pPr>
        <w:spacing w:before="240" w:after="80"/>
      </w:pPr>
      <w:r>
        <w:rPr>
          <w:b/>
          <w:color w:val="2B3A4E"/>
          <w:sz w:val="22"/>
        </w:rPr>
        <w:t>Article 3</w:t>
      </w:r>
    </w:p>
    <w:p>
      <w:r>
        <w:t>Employee training and development expense reimbursement shall adhere to the following principles:</w:t>
      </w:r>
    </w:p>
    <w:p>
      <w:pPr>
        <w:numPr>
          <w:ilvl w:val="0"/>
          <w:numId w:val="1"/>
        </w:numPr>
      </w:pPr>
      <w:r>
        <w:t>Relevance Principle: Training or certification content must be related to the employee's current job responsibilities or the company's business development direction;</w:t>
      </w:r>
    </w:p>
    <w:p>
      <w:pPr>
        <w:numPr>
          <w:ilvl w:val="0"/>
          <w:numId w:val="1"/>
        </w:numPr>
      </w:pPr>
      <w:r>
        <w:t>Pre-Approval Principle: All training and certification activities must obtain written approval in advance from the department head and the Human Resources Department;</w:t>
      </w:r>
    </w:p>
    <w:p>
      <w:pPr>
        <w:numPr>
          <w:ilvl w:val="0"/>
          <w:numId w:val="1"/>
        </w:numPr>
      </w:pPr>
      <w:r>
        <w:t>Budget Control Principle: Annual training expenses for each department must be incorporated into the department's annual budget management.</w:t>
      </w:r>
    </w:p>
    <w:p>
      <w:pPr>
        <w:pStyle w:val="Heading1"/>
      </w:pPr>
      <w:r>
        <w:t>Chapter II Eligible Expense Scope</w:t>
      </w:r>
    </w:p>
    <w:p>
      <w:pPr>
        <w:spacing w:before="240" w:after="80"/>
      </w:pPr>
      <w:r>
        <w:rPr>
          <w:b/>
          <w:color w:val="2B3A4E"/>
          <w:sz w:val="22"/>
        </w:rPr>
        <w:t>Article 4</w:t>
      </w:r>
    </w:p>
    <w:p>
      <w:r>
        <w:t>For company-approved training and development activities, the following expenses may be applied for reimbursement:</w:t>
      </w:r>
    </w:p>
    <w:p>
      <w:pPr>
        <w:pStyle w:val="Heading2"/>
      </w:pPr>
      <w:r>
        <w:t>(I) Training Course Fees</w:t>
      </w:r>
    </w:p>
    <w:p>
      <w:r>
        <w:t>Including course fees, textbook fees, and lab material fees charged by external training institutions. Training courses must be provided by formal training institutions or higher education institutions with a clear syllabus and assessment standards.</w:t>
      </w:r>
    </w:p>
    <w:p>
      <w:pPr>
        <w:pStyle w:val="Heading2"/>
      </w:pPr>
      <w:r>
        <w:t>(II) Certification Exam Fees</w:t>
      </w:r>
    </w:p>
    <w:p>
      <w:r>
        <w:t>Including registration fees, examination fees, and first-time certification fees. Limited to industry certification exams related to the job position, including but not limited to PMP, AWS Certification, Six Sigma, CFA, CPA, etc. Retake fees shall be borne by the employee personally.</w:t>
      </w:r>
    </w:p>
    <w:p>
      <w:pPr>
        <w:pStyle w:val="Heading2"/>
      </w:pPr>
      <w:r>
        <w:t>(III) Training Period Transportation Expenses</w:t>
      </w:r>
    </w:p>
    <w:p>
      <w:r>
        <w:t>For employees who leave their regular work location to attend training or exams, transportation expense reimbursement standards shall refer to the company's "Travel and Business Entertainment Expense Reimbursement Management Policy."</w:t>
      </w:r>
    </w:p>
    <w:p>
      <w:pPr>
        <w:pStyle w:val="Heading2"/>
      </w:pPr>
      <w:r>
        <w:t>(IV) Training Period Accommodation Expenses</w:t>
      </w:r>
    </w:p>
    <w:p>
      <w:r>
        <w:t>For training or exam locations outside the regular city where overnight accommodation is required, accommodation expense standards shall refer to the company's travel accommodation standards.</w:t>
      </w:r>
    </w:p>
    <w:p>
      <w:pPr>
        <w:pStyle w:val="Heading2"/>
      </w:pPr>
      <w:r>
        <w:t>(V) Training Period Meal Expenses</w:t>
      </w:r>
    </w:p>
    <w:p>
      <w:r>
        <w:t>For full-day training (6 hours or more), work meal expenses during the training period may be reimbursed.</w:t>
      </w:r>
    </w:p>
    <w:p>
      <w:pPr>
        <w:pStyle w:val="Heading2"/>
      </w:pPr>
      <w:r>
        <w:t>(VI) Professional Books and Learning Materials Expenses</w:t>
      </w:r>
    </w:p>
    <w:p>
      <w:r>
        <w:t>Professional books and learning materials directly related to job skill enhancement, purchased with department head approval. The cumulative annual reimbursement amount shall not exceed the company-specified standard.</w:t>
      </w:r>
    </w:p>
    <w:p>
      <w:pPr>
        <w:spacing w:before="240" w:after="80"/>
      </w:pPr>
      <w:r>
        <w:rPr>
          <w:b/>
          <w:color w:val="2B3A4E"/>
          <w:sz w:val="22"/>
        </w:rPr>
        <w:t>Article 5</w:t>
      </w:r>
    </w:p>
    <w:p>
      <w:r>
        <w:t>The following expenses are NOT within the reimbursement scope:</w:t>
      </w:r>
    </w:p>
    <w:p>
      <w:pPr>
        <w:numPr>
          <w:ilvl w:val="0"/>
          <w:numId w:val="1"/>
        </w:numPr>
      </w:pPr>
      <w:r>
        <w:t>Training or exam fees for self-enrolled activities without prior approval;</w:t>
      </w:r>
    </w:p>
    <w:p>
      <w:pPr>
        <w:numPr>
          <w:ilvl w:val="0"/>
          <w:numId w:val="1"/>
        </w:numPr>
      </w:pPr>
      <w:r>
        <w:t>Personal interest training fees unrelated to job responsibilities;</w:t>
      </w:r>
    </w:p>
    <w:p>
      <w:pPr>
        <w:numPr>
          <w:ilvl w:val="0"/>
          <w:numId w:val="1"/>
        </w:numPr>
      </w:pPr>
      <w:r>
        <w:t>Retake fees and repeat training fees after failing;</w:t>
      </w:r>
    </w:p>
    <w:p>
      <w:pPr>
        <w:numPr>
          <w:ilvl w:val="0"/>
          <w:numId w:val="1"/>
        </w:numPr>
      </w:pPr>
      <w:r>
        <w:t>Personal consumption during training (e.g., entertainment, shopping, etc.);</w:t>
      </w:r>
    </w:p>
    <w:p>
      <w:pPr>
        <w:numPr>
          <w:ilvl w:val="0"/>
          <w:numId w:val="1"/>
        </w:numPr>
      </w:pPr>
      <w:r>
        <w:t>Individual subscription fees for online self-learning platforms (excluding company-wide purchased subscriptions).</w:t>
      </w:r>
    </w:p>
    <w:p>
      <w:pPr>
        <w:pStyle w:val="Heading1"/>
      </w:pPr>
      <w:r>
        <w:t>Chapter III Approval Process</w:t>
      </w:r>
    </w:p>
    <w:p>
      <w:pPr>
        <w:spacing w:before="240" w:after="80"/>
      </w:pPr>
      <w:r>
        <w:rPr>
          <w:b/>
          <w:color w:val="2B3A4E"/>
          <w:sz w:val="22"/>
        </w:rPr>
        <w:t>Article 6</w:t>
      </w:r>
    </w:p>
    <w:p>
      <w:r>
        <w:t>Training and development expense reimbursement shall follow the process below:</w:t>
      </w:r>
    </w:p>
    <w:p>
      <w:pPr>
        <w:pStyle w:val="Heading2"/>
      </w:pPr>
      <w:r>
        <w:t>(I) Pre-Application</w:t>
      </w:r>
    </w:p>
    <w:p>
      <w:r>
        <w:t>Before attending training or exams, the employee must complete the "Employee Training Application Form," specifying the training name, training institution, training dates, estimated expenses, and relevance to work. The form shall be signed by the direct department head and submitted to the Human Resources Department for record.</w:t>
      </w:r>
    </w:p>
    <w:p>
      <w:pPr>
        <w:pStyle w:val="Heading2"/>
      </w:pPr>
      <w:r>
        <w:t>(II) Expense Advance Payment</w:t>
      </w:r>
    </w:p>
    <w:p>
      <w:r>
        <w:t>Approved training expenses may be advanced by the employee, or paid directly by the company to the training institution through the procurement process (recommended for amounts exceeding USD 500).</w:t>
      </w:r>
    </w:p>
    <w:p>
      <w:pPr>
        <w:pStyle w:val="Heading2"/>
      </w:pPr>
      <w:r>
        <w:t>(III) Reimbursement Application</w:t>
      </w:r>
    </w:p>
    <w:p>
      <w:r>
        <w:t>Within ten business days after the completion of training or exams, the employee shall submit the reimbursement application form, original receipts, training certificate or transcript (if applicable) to the department head for review.</w:t>
      </w:r>
    </w:p>
    <w:p>
      <w:pPr>
        <w:pStyle w:val="Heading2"/>
      </w:pPr>
      <w:r>
        <w:t>(IV) Department Review</w:t>
      </w:r>
    </w:p>
    <w:p>
      <w:r>
        <w:t>After confirming that the training has been completed and expenses are reasonable, the department head shall approve and forward to the Human Resources Department for training record verification.</w:t>
      </w:r>
    </w:p>
    <w:p>
      <w:pPr>
        <w:pStyle w:val="Heading2"/>
      </w:pPr>
      <w:r>
        <w:t>(V) Finance Review and Payment</w:t>
      </w:r>
    </w:p>
    <w:p>
      <w:r>
        <w:t>The Finance Department shall review receipt compliance and amount accuracy. After review approval, reimbursement funds shall be paid within ten business days.</w:t>
      </w:r>
    </w:p>
    <w:p>
      <w:pPr>
        <w:pStyle w:val="Heading1"/>
      </w:pPr>
      <w:r>
        <w:t>Chapter IV Service Period Agreement</w:t>
      </w:r>
    </w:p>
    <w:p>
      <w:pPr>
        <w:spacing w:before="240" w:after="80"/>
      </w:pPr>
      <w:r>
        <w:rPr>
          <w:b/>
          <w:color w:val="2B3A4E"/>
          <w:sz w:val="22"/>
        </w:rPr>
        <w:t>Article 7</w:t>
      </w:r>
    </w:p>
    <w:p>
      <w:r>
        <w:t>For single training expenses exceeding USD 2,000, the employee must sign a training service period agreement with the company. The service period shall be determined according to the following standards:</w:t>
      </w:r>
    </w:p>
    <w:tbl>
      <w:tblPr>
        <w:tblW w:w="5000" w:type="pct"/>
        <w:tblBorders>
          <w:top w:val="single" w:color="2B3A4E" w:sz="12"/>
          <w:left w:val="single" w:color="AAAAAA" w:sz="4"/>
          <w:bottom w:val="single" w:color="2B3A4E" w:sz="12"/>
          <w:right w:val="single" w:color="AAAAAA" w:sz="4"/>
          <w:insideH w:val="single" w:color="AAAAAA" w:sz="4"/>
          <w:insideV w:val="single" w:color="AAAAAA" w:sz="4"/>
        </w:tblBorders>
      </w:tblPr>
      <w:tblGrid>
        <w:gridCol w:w="5000"/>
        <w:gridCol w:w="5000"/>
      </w:tblGrid>
      <w:tr>
        <w:trPr>
          <w:tblHeader/>
        </w:trPr>
        <w:tc>
          <w:tcPr>
            <w:tcW w:w="5000" w:type="dxa"/>
            <w:shd w:val="clear" w:fill="E8ECF0"/>
          </w:tcPr>
          <w:p>
            <w:pPr>
              <w:spacing w:before="60" w:after="60"/>
              <w:jc w:val="center"/>
            </w:pPr>
            <w:r>
              <w:rPr>
                <w:b/>
                <w:color w:val="333333"/>
                <w:sz w:val="22"/>
              </w:rPr>
              <w:t>Training Expense Range (USD)</w:t>
            </w:r>
          </w:p>
        </w:tc>
        <w:tc>
          <w:tcPr>
            <w:tcW w:w="5000" w:type="dxa"/>
            <w:shd w:val="clear" w:fill="E8ECF0"/>
          </w:tcPr>
          <w:p>
            <w:pPr>
              <w:spacing w:before="60" w:after="60"/>
              <w:jc w:val="center"/>
            </w:pPr>
            <w:r>
              <w:rPr>
                <w:b/>
                <w:color w:val="333333"/>
                <w:sz w:val="22"/>
              </w:rPr>
              <w:t>Service Period</w:t>
            </w:r>
          </w:p>
        </w:tc>
      </w:tr>
      <w:tr>
        <w:tc>
          <w:tcPr>
            <w:tcW w:w="5000" w:type="dxa"/>
          </w:tcPr>
          <w:p>
            <w:pPr>
              <w:spacing w:before="60" w:after="60"/>
              <w:jc w:val="center"/>
            </w:pPr>
            <w:r>
              <w:rPr>
                <w:color w:val="555555"/>
                <w:sz w:val="22"/>
              </w:rPr>
              <w:t>2,001 - 5,000</w:t>
            </w:r>
          </w:p>
        </w:tc>
        <w:tc>
          <w:tcPr>
            <w:tcW w:w="5000" w:type="dxa"/>
          </w:tcPr>
          <w:p>
            <w:pPr>
              <w:spacing w:before="60" w:after="60"/>
              <w:jc w:val="center"/>
            </w:pPr>
            <w:r>
              <w:rPr>
                <w:color w:val="555555"/>
                <w:sz w:val="22"/>
              </w:rPr>
              <w:t>12 months</w:t>
            </w:r>
          </w:p>
        </w:tc>
      </w:tr>
      <w:tr>
        <w:tc>
          <w:tcPr>
            <w:tcW w:w="5000" w:type="dxa"/>
          </w:tcPr>
          <w:p>
            <w:pPr>
              <w:spacing w:before="60" w:after="60"/>
              <w:jc w:val="center"/>
            </w:pPr>
            <w:r>
              <w:rPr>
                <w:color w:val="555555"/>
                <w:sz w:val="22"/>
              </w:rPr>
              <w:t>5,001 - 10,000</w:t>
            </w:r>
          </w:p>
        </w:tc>
        <w:tc>
          <w:tcPr>
            <w:tcW w:w="5000" w:type="dxa"/>
          </w:tcPr>
          <w:p>
            <w:pPr>
              <w:spacing w:before="60" w:after="60"/>
              <w:jc w:val="center"/>
            </w:pPr>
            <w:r>
              <w:rPr>
                <w:color w:val="555555"/>
                <w:sz w:val="22"/>
              </w:rPr>
              <w:t>18 months</w:t>
            </w:r>
          </w:p>
        </w:tc>
      </w:tr>
      <w:tr>
        <w:tc>
          <w:tcPr>
            <w:tcW w:w="5000" w:type="dxa"/>
          </w:tcPr>
          <w:p>
            <w:pPr>
              <w:spacing w:before="60" w:after="60"/>
              <w:jc w:val="center"/>
            </w:pPr>
            <w:r>
              <w:rPr>
                <w:color w:val="555555"/>
                <w:sz w:val="22"/>
              </w:rPr>
              <w:t>10,001 - 20,000</w:t>
            </w:r>
          </w:p>
        </w:tc>
        <w:tc>
          <w:tcPr>
            <w:tcW w:w="5000" w:type="dxa"/>
          </w:tcPr>
          <w:p>
            <w:pPr>
              <w:spacing w:before="60" w:after="60"/>
              <w:jc w:val="center"/>
            </w:pPr>
            <w:r>
              <w:rPr>
                <w:color w:val="555555"/>
                <w:sz w:val="22"/>
              </w:rPr>
              <w:t>24 months</w:t>
            </w:r>
          </w:p>
        </w:tc>
      </w:tr>
      <w:tr>
        <w:tc>
          <w:tcPr>
            <w:tcW w:w="5000" w:type="dxa"/>
          </w:tcPr>
          <w:p>
            <w:pPr>
              <w:spacing w:before="60" w:after="60"/>
              <w:jc w:val="center"/>
            </w:pPr>
            <w:r>
              <w:rPr>
                <w:color w:val="555555"/>
                <w:sz w:val="22"/>
              </w:rPr>
              <w:t>Above 20,000</w:t>
            </w:r>
          </w:p>
        </w:tc>
        <w:tc>
          <w:tcPr>
            <w:tcW w:w="5000" w:type="dxa"/>
          </w:tcPr>
          <w:p>
            <w:pPr>
              <w:spacing w:before="60" w:after="60"/>
              <w:jc w:val="center"/>
            </w:pPr>
            <w:r>
              <w:rPr>
                <w:color w:val="555555"/>
                <w:sz w:val="22"/>
              </w:rPr>
              <w:t>36 months</w:t>
            </w:r>
          </w:p>
        </w:tc>
      </w:tr>
    </w:tbl>
    <w:p>
      <w:r>
        <w:t>The service period shall be calculated from the date of training completion. If an employee voluntarily resigns during the service period, the training fee shall be refunded in proportion to the unfulfilled service period.</w:t>
      </w:r>
    </w:p>
    <w:p>
      <w:pPr>
        <w:pStyle w:val="Heading1"/>
      </w:pPr>
      <w:r>
        <w:t>Chapter V Receipt Requirements</w:t>
      </w:r>
    </w:p>
    <w:p>
      <w:pPr>
        <w:spacing w:before="240" w:after="80"/>
      </w:pPr>
      <w:r>
        <w:rPr>
          <w:b/>
          <w:color w:val="2B3A4E"/>
          <w:sz w:val="22"/>
        </w:rPr>
        <w:t>Article 8</w:t>
      </w:r>
    </w:p>
    <w:p>
      <w:r>
        <w:t>Receipt requirements for training and development expense reimbursement are as follows:</w:t>
      </w:r>
    </w:p>
    <w:p>
      <w:pPr>
        <w:numPr>
          <w:ilvl w:val="0"/>
          <w:numId w:val="1"/>
        </w:numPr>
      </w:pPr>
      <w:r>
        <w:t>Formal invoice or receipt issued by the training or examination institution (must be a computer-generated receipt);</w:t>
      </w:r>
    </w:p>
    <w:p>
      <w:pPr>
        <w:numPr>
          <w:ilvl w:val="0"/>
          <w:numId w:val="1"/>
        </w:numPr>
      </w:pPr>
      <w:r>
        <w:t>Bank transfer voucher or credit card charge slip (as proof of payment);</w:t>
      </w:r>
    </w:p>
    <w:p>
      <w:pPr>
        <w:numPr>
          <w:ilvl w:val="0"/>
          <w:numId w:val="1"/>
        </w:numPr>
      </w:pPr>
      <w:r>
        <w:t>For online payments, an electronic payment voucher screenshot must be provided (showing merchant name, amount, and date);</w:t>
      </w:r>
    </w:p>
    <w:p>
      <w:pPr>
        <w:numPr>
          <w:ilvl w:val="0"/>
          <w:numId w:val="1"/>
        </w:numPr>
      </w:pPr>
      <w:r>
        <w:t>Handwritten receipts will NOT be accepted.</w:t>
      </w:r>
    </w:p>
    <w:p>
      <w:pPr>
        <w:pStyle w:val="Heading1"/>
      </w:pPr>
      <w:r>
        <w:t>Chapter VI Supplementary Provisions</w:t>
      </w:r>
    </w:p>
    <w:p>
      <w:pPr>
        <w:spacing w:before="240" w:after="80"/>
      </w:pPr>
      <w:r>
        <w:rPr>
          <w:b/>
          <w:color w:val="2B3A4E"/>
          <w:sz w:val="22"/>
        </w:rPr>
        <w:t>Article 9</w:t>
      </w:r>
    </w:p>
    <w:p>
      <w:r>
        <w:t>Annual training expense budgets for each department shall be consolidated by the Human Resources Department and executed after management approval. Expenses exceeding the budget must be approved separately.</w:t>
      </w:r>
    </w:p>
    <w:p>
      <w:pPr>
        <w:spacing w:before="240" w:after="80"/>
      </w:pPr>
      <w:r>
        <w:rPr>
          <w:b/>
          <w:color w:val="2B3A4E"/>
          <w:sz w:val="22"/>
        </w:rPr>
        <w:t>Article 10</w:t>
      </w:r>
    </w:p>
    <w:p>
      <w:r>
        <w:t>This Policy shall be interpreted and revised by the Human Resources Department.</w:t>
      </w:r>
    </w:p>
    <w:p>
      <w:pPr>
        <w:spacing w:before="240" w:after="80"/>
      </w:pPr>
      <w:r>
        <w:rPr>
          <w:b/>
          <w:color w:val="2B3A4E"/>
          <w:sz w:val="22"/>
        </w:rPr>
        <w:t>Article 11</w:t>
      </w:r>
    </w:p>
    <w:p>
      <w:r>
        <w:t>This Policy shall take effect on September 1, 2012.</w:t>
      </w:r>
    </w:p>
    <w:p>
      <w:pPr>
        <w:spacing w:before="600"/>
      </w:pPr>
      <w:r>
        <w:rPr>
          <w:color w:val="333333"/>
          <w:sz w:val="22"/>
        </w:rPr>
        <w:t>Meridian Technologies, Inc.</w:t>
      </w:r>
    </w:p>
    <w:p>
      <w:r>
        <w:rPr>
          <w:color w:val="333333"/>
          <w:sz w:val="22"/>
        </w:rPr>
        <w:t>Human Resources Department</w:t>
      </w:r>
    </w:p>
    <w:p>
      <w:r>
        <w:rPr>
          <w:color w:val="333333"/>
          <w:sz w:val="22"/>
        </w:rPr>
        <w:t>August 15, 2012</w:t>
      </w:r>
    </w:p>
    <w:sectPr>
      <w:headerReference w:type="default" r:id="R599b3adaf53248f4"/>
      <w:footerReference w:type="default" r:id="R9cea2e517fda4cb6"/>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77777"/>
        <w:sz w:val="16"/>
      </w:rPr>
      <w:fldChar w:fldCharType="begin"/>
    </w:r>
    <w:r>
      <w:rPr>
        <w:color w:val="777777"/>
        <w:sz w:val="16"/>
      </w:rPr>
      <w:instrText xml:space="preserve"> PAGE </w:instrText>
    </w:r>
    <w:r>
      <w:rPr>
        <w:color w:val="777777"/>
        <w:sz w:val="16"/>
      </w:rPr>
      <w:fldChar w:fldCharType="separate"/>
    </w:r>
    <w:r>
      <w:rPr>
        <w:color w:val="777777"/>
        <w:sz w:val="16"/>
      </w:rPr>
      <w:t>1</w:t>
    </w:r>
    <w:r>
      <w:rPr>
        <w:color w:val="777777"/>
        <w:sz w:val="16"/>
      </w:rPr>
      <w:fldChar w:fldCharType="end"/>
    </w:r>
  </w:p>
</w:ftr>
</file>

<file path=word/header1.xml><?xml version="1.0" encoding="utf-8"?>
<w:hdr xmlns:w="http://schemas.openxmlformats.org/wordprocessingml/2006/main">
  <w:p>
    <w:pPr>
      <w:jc w:val="right"/>
    </w:pPr>
    <w:r>
      <w:rPr>
        <w:color w:val="777777"/>
        <w:sz w:val="16"/>
      </w:rPr>
      <w:t>Employee Training and Development Expense Reimbursement Policy</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12" w:lineRule="auto"/>
    </w:pPr>
    <w:rPr>
      <w:rFonts w:ascii="Calibri" w:hAnsi="Calibri" w:eastAsia="Microsoft YaHei"/>
      <w:color w:val="333333"/>
      <w:sz w:val="22"/>
    </w:rPr>
  </w:style>
  <w:style w:type="paragraph" w:styleId="Heading1">
    <w:name w:val="heading 1"/>
    <w:basedOn w:val="Normal"/>
    <w:pPr>
      <w:keepNext/>
      <w:keepLines/>
      <w:spacing w:before="400" w:after="200"/>
      <w:outlineLvl w:val="0"/>
    </w:pPr>
    <w:rPr>
      <w:rFonts w:ascii="Calibri" w:hAnsi="Calibri" w:eastAsia="Microsoft YaHei"/>
      <w:b/>
      <w:color w:val="2B3A4E"/>
      <w:sz w:val="28"/>
    </w:rPr>
  </w:style>
  <w:style w:type="paragraph" w:styleId="Heading2">
    <w:name w:val="heading 2"/>
    <w:basedOn w:val="Normal"/>
    <w:pPr>
      <w:keepNext/>
      <w:keepLines/>
      <w:spacing w:before="280" w:after="120"/>
      <w:outlineLvl w:val="1"/>
    </w:pPr>
    <w:rPr>
      <w:rFonts w:ascii="Calibri" w:hAnsi="Calibri" w:eastAsia="Microsoft YaHei"/>
      <w:b/>
      <w:color w:val="333333"/>
      <w:sz w:val="24"/>
    </w:rPr>
  </w:style>
</w:styles>
</file>

<file path=word/_rels/document.xml.rels><?xml version='1.0' encoding='UTF-8'?>
<Relationships xmlns="http://schemas.openxmlformats.org/package/2006/relationships"><Relationship Type="http://schemas.openxmlformats.org/officeDocument/2006/relationships/styles" Target="styles.xml" Id="R132e572b0c6045a5" /><Relationship Type="http://schemas.openxmlformats.org/officeDocument/2006/relationships/numbering" Target="numbering.xml" Id="R461bb8943ac54ab8" /><Relationship Type="http://schemas.openxmlformats.org/officeDocument/2006/relationships/header" Target="header1.xml" Id="R599b3adaf53248f4" /><Relationship Type="http://schemas.openxmlformats.org/officeDocument/2006/relationships/footer" Target="footer1.xml" Id="R9cea2e517fda4cb6" /><Relationship Type="http://schemas.openxmlformats.org/officeDocument/2006/relationships/settings" Target="settings.xml" Id="Rc488c8647e574d1a" /></Relationships>
</file>