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964c1960bed47cf" /></Relationships>
</file>

<file path=word/document.xml><?xml version="1.0" encoding="utf-8"?>
<w:document xmlns:r="http://schemas.openxmlformats.org/officeDocument/2006/relationships" xmlns:w="http://schemas.openxmlformats.org/wordprocessingml/2006/main">
  <w:body>
    <w:p>
      <w:pPr>
        <w:spacing w:before="400" w:after="200"/>
        <w:jc w:val="center"/>
      </w:pPr>
      <w:r>
        <w:rPr>
          <w:b/>
          <w:color w:val="2B3A4E"/>
          <w:sz w:val="36"/>
        </w:rPr>
        <w:t>Travel and Business Entertainment</w:t>
      </w:r>
    </w:p>
    <w:p>
      <w:pPr>
        <w:spacing w:after="200"/>
        <w:jc w:val="center"/>
      </w:pPr>
      <w:r>
        <w:rPr>
          <w:b/>
          <w:color w:val="2B3A4E"/>
          <w:sz w:val="36"/>
        </w:rPr>
        <w:t>Expense Reimbursement Management Policy</w:t>
      </w:r>
    </w:p>
    <w:p>
      <w:pPr>
        <w:spacing w:after="60"/>
        <w:jc w:val="center"/>
      </w:pPr>
      <w:r>
        <w:rPr>
          <w:color w:val="555555"/>
          <w:sz w:val="20"/>
        </w:rPr>
        <w:t>Document No.: FM-POL-2011-003</w:t>
      </w:r>
    </w:p>
    <w:p>
      <w:pPr>
        <w:spacing w:after="60"/>
        <w:jc w:val="center"/>
      </w:pPr>
      <w:r>
        <w:rPr>
          <w:color w:val="555555"/>
          <w:sz w:val="20"/>
        </w:rPr>
        <w:t>Version: V3.2</w:t>
      </w:r>
    </w:p>
    <w:p>
      <w:pPr>
        <w:spacing w:after="60"/>
        <w:jc w:val="center"/>
      </w:pPr>
      <w:r>
        <w:rPr>
          <w:color w:val="555555"/>
          <w:sz w:val="20"/>
        </w:rPr>
        <w:t>Effective Date: June 1, 2012</w:t>
      </w:r>
    </w:p>
    <w:p>
      <w:pPr>
        <w:spacing w:after="60"/>
        <w:jc w:val="center"/>
      </w:pPr>
      <w:r>
        <w:rPr>
          <w:color w:val="555555"/>
          <w:sz w:val="20"/>
        </w:rPr>
        <w:t>Prepared by: Finance Department</w:t>
      </w:r>
    </w:p>
    <w:p>
      <w:pPr>
        <w:spacing w:after="60"/>
        <w:jc w:val="center"/>
      </w:pPr>
      <w:r>
        <w:rPr>
          <w:color w:val="555555"/>
          <w:sz w:val="20"/>
        </w:rPr>
        <w:t>Approver: David Thompson (Executive Vice President)</w:t>
      </w:r>
    </w:p>
    <w:p>
      <w:pPr>
        <w:pStyle w:val="Heading1"/>
      </w:pPr>
      <w:r>
        <w:t>Chapter I General Provisions</w:t>
      </w:r>
    </w:p>
    <w:p>
      <w:pPr>
        <w:spacing w:before="240" w:after="80"/>
      </w:pPr>
      <w:r>
        <w:rPr>
          <w:b/>
          <w:color w:val="2B3A4E"/>
          <w:sz w:val="22"/>
        </w:rPr>
        <w:t>Article 1</w:t>
      </w:r>
    </w:p>
    <w:p>
      <w:r>
        <w:t>This Policy is formulated to regulate the reimbursement management of company travel and business entertainment expenses, ensuring that all expenditures are reasonable, compliant, and transparent, in accordance with the company's financial management system and relevant laws and regulations.</w:t>
      </w:r>
    </w:p>
    <w:p>
      <w:pPr>
        <w:spacing w:before="240" w:after="80"/>
      </w:pPr>
      <w:r>
        <w:rPr>
          <w:b/>
          <w:color w:val="2B3A4E"/>
          <w:sz w:val="22"/>
        </w:rPr>
        <w:t>Article 2</w:t>
      </w:r>
    </w:p>
    <w:p>
      <w:r>
        <w:t>This Policy applies to all company employees for expense reimbursement arising from business travel and business entertainment activities. All expense reimbursements must adhere to the principles of "authenticity, reasonableness, and necessity."</w:t>
      </w:r>
    </w:p>
    <w:p>
      <w:pPr>
        <w:spacing w:before="240" w:after="80"/>
      </w:pPr>
      <w:r>
        <w:rPr>
          <w:b/>
          <w:color w:val="2B3A4E"/>
          <w:sz w:val="22"/>
        </w:rPr>
        <w:t>Article 3</w:t>
      </w:r>
    </w:p>
    <w:p>
      <w:r>
        <w:t>For the purposes of this Policy, "travel expenses" refer to transportation, accommodation, meals, and other reasonable costs incurred by employees when leaving their regular work location to perform work-related tasks in other cities or countries. "Business entertainment expenses" refer to meal, transportation, and other costs incurred when hosting clients, partners, or other relevant parties for business purposes.</w:t>
      </w:r>
    </w:p>
    <w:p>
      <w:pPr>
        <w:pStyle w:val="Heading1"/>
      </w:pPr>
      <w:r>
        <w:t>Chapter II Eligible Expense Categories and Scope</w:t>
      </w:r>
    </w:p>
    <w:p>
      <w:pPr>
        <w:spacing w:before="240" w:after="80"/>
      </w:pPr>
      <w:r>
        <w:rPr>
          <w:b/>
          <w:color w:val="2B3A4E"/>
          <w:sz w:val="22"/>
        </w:rPr>
        <w:t>Article 4</w:t>
      </w:r>
    </w:p>
    <w:p>
      <w:r>
        <w:t>During business travel, the following categories of expenses are eligible for reimbursement:</w:t>
      </w:r>
    </w:p>
    <w:p>
      <w:pPr>
        <w:pStyle w:val="Heading2"/>
      </w:pPr>
      <w:r>
        <w:t>(I) Transportation Expenses</w:t>
      </w:r>
    </w:p>
    <w:p>
      <w:r>
        <w:t>Including but not limited to round-trip airfares (including economy class ticket prices, airport construction fees, and fuel surcharges), train tickets, long-distance bus tickets, local taxi fares, ride-hailing fares, and public transportation costs. When multiple employees travel on the same business trip, expenses from shared transportation may be paid by one person and reimbursed accordingly.</w:t>
      </w:r>
    </w:p>
    <w:p>
      <w:pPr>
        <w:pStyle w:val="Heading2"/>
      </w:pPr>
      <w:r>
        <w:t>(II) Accommodation Expenses</w:t>
      </w:r>
    </w:p>
    <w:p>
      <w:r>
        <w:t>Including hotel room charges and reasonable incidental hotel expenses. Accommodation reimbursement is based on the hotel's formal itemized bill, which shall include the following incidental charges:</w:t>
      </w:r>
    </w:p>
    <w:p>
      <w:pPr>
        <w:numPr>
          <w:ilvl w:val="0"/>
          <w:numId w:val="1"/>
        </w:numPr>
      </w:pPr>
      <w:r>
        <w:t>In-hotel dining expenses (e.g., breakfast, room service);</w:t>
      </w:r>
    </w:p>
    <w:p>
      <w:pPr>
        <w:numPr>
          <w:ilvl w:val="0"/>
          <w:numId w:val="1"/>
        </w:numPr>
      </w:pPr>
      <w:r>
        <w:t>Hotel parking fees;</w:t>
      </w:r>
    </w:p>
    <w:p>
      <w:pPr>
        <w:numPr>
          <w:ilvl w:val="0"/>
          <w:numId w:val="1"/>
        </w:numPr>
      </w:pPr>
      <w:r>
        <w:t>Hotel business center usage fees (printing, faxing, etc., for business purposes);</w:t>
      </w:r>
    </w:p>
    <w:p>
      <w:pPr>
        <w:numPr>
          <w:ilvl w:val="0"/>
          <w:numId w:val="1"/>
        </w:numPr>
      </w:pPr>
      <w:r>
        <w:t>Hotel internet communication fees (for business purposes).</w:t>
      </w:r>
    </w:p>
    <w:p>
      <w:r>
        <w:t>For accommodation reimbursement, the original or printed electronic formal hotel bill must be provided, showing the guest's name, check-in and check-out dates, room type, and daily room rate details.</w:t>
      </w:r>
    </w:p>
    <w:p>
      <w:pPr>
        <w:pStyle w:val="Heading2"/>
      </w:pPr>
      <w:r>
        <w:t>(III) Meal Expenses</w:t>
      </w:r>
    </w:p>
    <w:p>
      <w:r>
        <w:t>Including work meals during business travel and business entertainment meals. Specifically:</w:t>
      </w:r>
    </w:p>
    <w:p>
      <w:pPr>
        <w:numPr>
          <w:ilvl w:val="0"/>
          <w:numId w:val="1"/>
        </w:numPr>
      </w:pPr>
      <w:r>
        <w:t>Breakfast, lunch, and dinner expenses incurred at the business travel destination due to work requirements;</w:t>
      </w:r>
    </w:p>
    <w:p>
      <w:pPr>
        <w:numPr>
          <w:ilvl w:val="0"/>
          <w:numId w:val="1"/>
        </w:numPr>
      </w:pPr>
      <w:r>
        <w:t>Additional meal expenses caused by force majeure factors such as flight delays and transportation disruptions (delay proof or situation explanation required);</w:t>
      </w:r>
    </w:p>
    <w:p>
      <w:pPr>
        <w:numPr>
          <w:ilvl w:val="0"/>
          <w:numId w:val="1"/>
        </w:numPr>
      </w:pPr>
      <w:r>
        <w:t>Meal expenses shared with clients or partners during business entertainment activities;</w:t>
      </w:r>
    </w:p>
    <w:p>
      <w:pPr>
        <w:numPr>
          <w:ilvl w:val="0"/>
          <w:numId w:val="1"/>
        </w:numPr>
      </w:pPr>
      <w:r>
        <w:t>Long-haul connection meal expenses during travel, including but not limited to meals at airports, train stations, and other transportation hub areas due to flight connections or delays.</w:t>
      </w:r>
    </w:p>
    <w:p>
      <w:r>
        <w:t>For meal expense reimbursement, a formal computer-generated receipt from the restaurant or dining service provider must be provided, containing the merchant name, address, date of consumption, itemized expenses, and amount.</w:t>
      </w:r>
    </w:p>
    <w:p>
      <w:pPr>
        <w:pStyle w:val="Heading2"/>
      </w:pPr>
      <w:r>
        <w:t>(IV) Other Reasonable Expenses</w:t>
      </w:r>
    </w:p>
    <w:p>
      <w:r>
        <w:t>Including luggage storage fees, business communication fees, meeting material printing fees, visa fees, airport lounge fees (if approved), and other reasonable miscellaneous costs incurred during business travel.</w:t>
      </w:r>
    </w:p>
    <w:p>
      <w:pPr>
        <w:spacing w:before="240" w:after="80"/>
      </w:pPr>
      <w:r>
        <w:rPr>
          <w:b/>
          <w:color w:val="2B3A4E"/>
          <w:sz w:val="22"/>
        </w:rPr>
        <w:t>Article 5</w:t>
      </w:r>
    </w:p>
    <w:p>
      <w:r>
        <w:t>For reimbursement of business entertainment meal expenses, the following materials must be provided simultaneously:</w:t>
      </w:r>
    </w:p>
    <w:p>
      <w:pPr>
        <w:numPr>
          <w:ilvl w:val="0"/>
          <w:numId w:val="1"/>
        </w:numPr>
      </w:pPr>
      <w:r>
        <w:t>Original formal computer-generated receipt of the dining expense;</w:t>
      </w:r>
    </w:p>
    <w:p>
      <w:pPr>
        <w:numPr>
          <w:ilvl w:val="0"/>
          <w:numId w:val="1"/>
        </w:numPr>
      </w:pPr>
      <w:r>
        <w:t>Dining participant list (including names, organizations, and positions of both internal staff and hosted parties);</w:t>
      </w:r>
    </w:p>
    <w:p>
      <w:pPr>
        <w:numPr>
          <w:ilvl w:val="0"/>
          <w:numId w:val="1"/>
        </w:numPr>
      </w:pPr>
      <w:r>
        <w:t>Brief explanation of the business entertainment purpose.</w:t>
      </w:r>
    </w:p>
    <w:p>
      <w:r>
        <w:t>When multiple people dine together, one person may pay uniformly and submit the original receipt for reimbursement. The actual dining participant information must be noted on the reimbursement form.</w:t>
      </w:r>
    </w:p>
    <w:p>
      <w:pPr>
        <w:spacing w:before="240" w:after="80"/>
      </w:pPr>
      <w:r>
        <w:rPr>
          <w:b/>
          <w:color w:val="2B3A4E"/>
          <w:sz w:val="22"/>
        </w:rPr>
        <w:t>Article 6</w:t>
      </w:r>
    </w:p>
    <w:p>
      <w:r>
        <w:t>Additional expenses arising from force majeure factors such as flight delays, severe weather, and traffic control (including but not limited to additional accommodation, meals, and rebooking fees) shall be reported by the traveling employee to the department head in a timely manner, with relevant supporting documents retained. After verification, such expenses may be reimbursed in accordance with this Policy.</w:t>
      </w:r>
    </w:p>
    <w:p>
      <w:pPr>
        <w:pStyle w:val="Heading1"/>
      </w:pPr>
      <w:r>
        <w:t>Chapter III Reimbursement Process</w:t>
      </w:r>
    </w:p>
    <w:p>
      <w:pPr>
        <w:spacing w:before="240" w:after="80"/>
      </w:pPr>
      <w:r>
        <w:rPr>
          <w:b/>
          <w:color w:val="2B3A4E"/>
          <w:sz w:val="22"/>
        </w:rPr>
        <w:t>Article 7</w:t>
      </w:r>
    </w:p>
    <w:p>
      <w:r>
        <w:t>Travel and business entertainment expense reimbursement shall follow the standard process below:</w:t>
      </w:r>
    </w:p>
    <w:p>
      <w:pPr>
        <w:pStyle w:val="Heading2"/>
      </w:pPr>
      <w:r>
        <w:t>(I) Submit Reimbursement Materials</w:t>
      </w:r>
    </w:p>
    <w:p>
      <w:r>
        <w:t>Within five business days after the completion of business travel, the traveler shall submit the completed reimbursement application form together with all original receipts, approval documents, situation explanations, and other supporting materials to the direct department head.</w:t>
      </w:r>
    </w:p>
    <w:p>
      <w:pPr>
        <w:pStyle w:val="Heading2"/>
      </w:pPr>
      <w:r>
        <w:t>(II) Department Head Review</w:t>
      </w:r>
    </w:p>
    <w:p>
      <w:r>
        <w:t>The department head shall review the authenticity and reasonableness of the reimbursement materials, confirming that expenses are consistent with the travel purpose and comply with this Policy. Upon approval, the department head shall sign the reimbursement application form and forward it to the Finance Department within two business days.</w:t>
      </w:r>
    </w:p>
    <w:p>
      <w:pPr>
        <w:pStyle w:val="Heading2"/>
      </w:pPr>
      <w:r>
        <w:t>(III) Finance Department Review</w:t>
      </w:r>
    </w:p>
    <w:p>
      <w:r>
        <w:t>The Finance Department shall review the completeness of materials, compliance of receipts, and accuracy of amounts. Review items include but are not limited to: whether receipts are formal computer-generated receipts, whether calculations are correct, whether expense categories comply with regulations, and whether approval procedures are complete. After review approval, payment vouchers shall be prepared.</w:t>
      </w:r>
    </w:p>
    <w:p>
      <w:pPr>
        <w:pStyle w:val="Heading2"/>
      </w:pPr>
      <w:r>
        <w:t>(IV) Reimbursement Payment</w:t>
      </w:r>
    </w:p>
    <w:p>
      <w:r>
        <w:t>After the Finance Department completes its review, reimbursement funds shall be transferred to the designated bank account of the claimant within ten business days.</w:t>
      </w:r>
    </w:p>
    <w:p>
      <w:pPr>
        <w:spacing w:before="240" w:after="80"/>
      </w:pPr>
      <w:r>
        <w:rPr>
          <w:b/>
          <w:color w:val="2B3A4E"/>
          <w:sz w:val="22"/>
        </w:rPr>
        <w:t>Article 8</w:t>
      </w:r>
    </w:p>
    <w:p>
      <w:r>
        <w:t>If reimbursement materials are incomplete or do not meet requirements, the Finance Department has the right to return them and request supplementation. The claimant shall complete the materials within three business days upon receiving the return notice.</w:t>
      </w:r>
    </w:p>
    <w:p>
      <w:pPr>
        <w:pStyle w:val="Heading1"/>
      </w:pPr>
      <w:r>
        <w:t>Chapter IV Group Expense Reimbursement</w:t>
      </w:r>
    </w:p>
    <w:p>
      <w:pPr>
        <w:spacing w:before="240" w:after="80"/>
      </w:pPr>
      <w:r>
        <w:rPr>
          <w:b/>
          <w:color w:val="2B3A4E"/>
          <w:sz w:val="22"/>
        </w:rPr>
        <w:t>Article 9</w:t>
      </w:r>
    </w:p>
    <w:p>
      <w:r>
        <w:t>Expenses jointly incurred by multiple people from the same business activity (such as shared transportation, shared meals, and shared accommodation) may generally be consolidated for reimbursement. Specific handling is as follows:</w:t>
      </w:r>
    </w:p>
    <w:p>
      <w:pPr>
        <w:pStyle w:val="Heading2"/>
      </w:pPr>
      <w:r>
        <w:t>(I) Shared Transportation Expenses</w:t>
      </w:r>
    </w:p>
    <w:p>
      <w:r>
        <w:t>Expenses from shared taxis, ride-hailing vehicles, and other transportation may be paid by any one person and reimbursed, with passenger information noted on the reimbursement form.</w:t>
      </w:r>
    </w:p>
    <w:p>
      <w:pPr>
        <w:pStyle w:val="Heading2"/>
      </w:pPr>
      <w:r>
        <w:t>(II) Shared Meal Expenses</w:t>
      </w:r>
    </w:p>
    <w:p>
      <w:r>
        <w:t>Expenses from shared meals may be paid by one person and submitted with the original receipt for reimbursement. The reimbursement form must include the dining participant list and each person's department affiliation. The reimbursement amount shall be calculated as the sum of individual reimbursement limits. For business entertainment meals, information on hosted party personnel must also be included.</w:t>
      </w:r>
    </w:p>
    <w:p>
      <w:pPr>
        <w:spacing w:before="240" w:after="80"/>
      </w:pPr>
      <w:r>
        <w:rPr>
          <w:b/>
          <w:color w:val="2B3A4E"/>
          <w:sz w:val="22"/>
        </w:rPr>
        <w:t>Article 10</w:t>
      </w:r>
    </w:p>
    <w:p>
      <w:r>
        <w:t>When group expenses are paid by one person on behalf of others, the reimbursement funds shall in principle be paid to the actual payer. If separate payments to individual dining or traveling personnel accounts are required, this must be clearly stated in the reimbursement application and approved by the department head.</w:t>
      </w:r>
    </w:p>
    <w:p>
      <w:pPr>
        <w:pStyle w:val="Heading1"/>
      </w:pPr>
      <w:r>
        <w:t>Chapter V Authenticity Supporting Documents Requirements</w:t>
      </w:r>
    </w:p>
    <w:p>
      <w:pPr>
        <w:spacing w:before="240" w:after="80"/>
      </w:pPr>
      <w:r>
        <w:rPr>
          <w:b/>
          <w:color w:val="2B3A4E"/>
          <w:sz w:val="22"/>
        </w:rPr>
        <w:t>Article 11</w:t>
      </w:r>
    </w:p>
    <w:p>
      <w:r>
        <w:t>The reimbursement applicant shall provide the following authenticity supporting documents to prove the authenticity and reasonableness of the reimbursement items:</w:t>
      </w:r>
    </w:p>
    <w:p>
      <w:pPr>
        <w:numPr>
          <w:ilvl w:val="0"/>
          <w:numId w:val="1"/>
        </w:numPr>
      </w:pPr>
      <w:r>
        <w:t>Approved business travel approval form or business entertainment approval form;</w:t>
      </w:r>
    </w:p>
    <w:p>
      <w:pPr>
        <w:numPr>
          <w:ilvl w:val="0"/>
          <w:numId w:val="1"/>
        </w:numPr>
      </w:pPr>
      <w:r>
        <w:t>Meeting notices, invitation letters, or event arrangement documents;</w:t>
      </w:r>
    </w:p>
    <w:p>
      <w:pPr>
        <w:numPr>
          <w:ilvl w:val="0"/>
          <w:numId w:val="1"/>
        </w:numPr>
      </w:pPr>
      <w:r>
        <w:t>Meeting minutes, work logs, or business trip reports and other work records;</w:t>
      </w:r>
    </w:p>
    <w:p>
      <w:pPr>
        <w:numPr>
          <w:ilvl w:val="0"/>
          <w:numId w:val="1"/>
        </w:numPr>
      </w:pPr>
      <w:r>
        <w:t>If additional expenses arise due to force majeure, delay notifications, weather proof, or situation explanations and other supporting materials must be provided;</w:t>
      </w:r>
    </w:p>
    <w:p>
      <w:pPr>
        <w:numPr>
          <w:ilvl w:val="0"/>
          <w:numId w:val="1"/>
        </w:numPr>
      </w:pPr>
      <w:r>
        <w:t>Other relevant documents that can prove the authenticity of the expense.</w:t>
      </w:r>
    </w:p>
    <w:p>
      <w:r>
        <w:t>The above supporting documents shall be consistent with internally archived project background materials.</w:t>
      </w:r>
    </w:p>
    <w:p>
      <w:pPr>
        <w:pStyle w:val="Heading1"/>
      </w:pPr>
      <w:r>
        <w:t>Chapter VI Acceptable Receipt Requirements</w:t>
      </w:r>
    </w:p>
    <w:p>
      <w:pPr>
        <w:spacing w:before="240" w:after="80"/>
      </w:pPr>
      <w:r>
        <w:rPr>
          <w:b/>
          <w:color w:val="2B3A4E"/>
          <w:sz w:val="22"/>
        </w:rPr>
        <w:t>Article 12</w:t>
      </w:r>
    </w:p>
    <w:p>
      <w:r>
        <w:t>Acceptable receipt types for company reimbursement include:</w:t>
      </w:r>
    </w:p>
    <w:p>
      <w:pPr>
        <w:numPr>
          <w:ilvl w:val="0"/>
          <w:numId w:val="1"/>
        </w:numPr>
      </w:pPr>
      <w:r>
        <w:t>Formal computer-generated receipts from merchants, containing merchant name, address, date of consumption, itemized expenses, and amount;</w:t>
      </w:r>
    </w:p>
    <w:p>
      <w:pPr>
        <w:numPr>
          <w:ilvl w:val="0"/>
          <w:numId w:val="1"/>
        </w:numPr>
      </w:pPr>
      <w:r>
        <w:t>Credit or debit card charge slips (amount must match the computer-generated receipt);</w:t>
      </w:r>
    </w:p>
    <w:p>
      <w:pPr>
        <w:numPr>
          <w:ilvl w:val="0"/>
          <w:numId w:val="1"/>
        </w:numPr>
      </w:pPr>
      <w:r>
        <w:t>Airline electronic ticket itinerary and boarding pass;</w:t>
      </w:r>
    </w:p>
    <w:p>
      <w:pPr>
        <w:numPr>
          <w:ilvl w:val="0"/>
          <w:numId w:val="1"/>
        </w:numPr>
      </w:pPr>
      <w:r>
        <w:t>Hotel formal itemized bill (Folio);</w:t>
      </w:r>
    </w:p>
    <w:p>
      <w:pPr>
        <w:numPr>
          <w:ilvl w:val="0"/>
          <w:numId w:val="1"/>
        </w:numPr>
      </w:pPr>
      <w:r>
        <w:t>Electronic invoice or confirmation from online booking platforms (must display complete expense details);</w:t>
      </w:r>
    </w:p>
    <w:p>
      <w:pPr>
        <w:numPr>
          <w:ilvl w:val="0"/>
          <w:numId w:val="1"/>
        </w:numPr>
      </w:pPr>
      <w:r>
        <w:t>Public transportation stored-value card consumption records or electronic payment vouchers.</w:t>
      </w:r>
    </w:p>
    <w:p>
      <w:pPr>
        <w:spacing w:before="240" w:after="80"/>
      </w:pPr>
      <w:r>
        <w:rPr>
          <w:b/>
          <w:color w:val="2B3A4E"/>
          <w:sz w:val="22"/>
        </w:rPr>
        <w:t>Article 13</w:t>
      </w:r>
    </w:p>
    <w:p>
      <w:r>
        <w:t>The following receipt types will NOT be accepted:</w:t>
      </w:r>
    </w:p>
    <w:p>
      <w:pPr>
        <w:numPr>
          <w:ilvl w:val="0"/>
          <w:numId w:val="1"/>
        </w:numPr>
      </w:pPr>
      <w:r>
        <w:t>Handwritten receipts or handwritten vouchers;</w:t>
      </w:r>
    </w:p>
    <w:p>
      <w:pPr>
        <w:numPr>
          <w:ilvl w:val="0"/>
          <w:numId w:val="1"/>
        </w:numPr>
      </w:pPr>
      <w:r>
        <w:t>Incomplete receipts without merchant name, address, or date;</w:t>
      </w:r>
    </w:p>
    <w:p>
      <w:pPr>
        <w:numPr>
          <w:ilvl w:val="0"/>
          <w:numId w:val="1"/>
        </w:numPr>
      </w:pPr>
      <w:r>
        <w:t>Altered, illegible, or unidentifiable receipts;</w:t>
      </w:r>
    </w:p>
    <w:p>
      <w:pPr>
        <w:numPr>
          <w:ilvl w:val="0"/>
          <w:numId w:val="1"/>
        </w:numPr>
      </w:pPr>
      <w:r>
        <w:t>Informal personal receipts or notes.</w:t>
      </w:r>
    </w:p>
    <w:p>
      <w:pPr>
        <w:spacing w:before="240" w:after="80"/>
      </w:pPr>
      <w:r>
        <w:rPr>
          <w:b/>
          <w:color w:val="2B3A4E"/>
          <w:sz w:val="22"/>
        </w:rPr>
        <w:t>Article 14</w:t>
      </w:r>
    </w:p>
    <w:p>
      <w:r>
        <w:t>For foreign currency receipts, the reimbursement amount shall be calculated in US dollars using the foreign exchange conversion rate published by the company Finance Department on the date the reimbursement application is submitted.</w:t>
      </w:r>
    </w:p>
    <w:p>
      <w:pPr>
        <w:pStyle w:val="Heading1"/>
      </w:pPr>
      <w:r>
        <w:t>Chapter VII Supplementary Provisions</w:t>
      </w:r>
    </w:p>
    <w:p>
      <w:pPr>
        <w:spacing w:before="240" w:after="80"/>
      </w:pPr>
      <w:r>
        <w:rPr>
          <w:b/>
          <w:color w:val="2B3A4E"/>
          <w:sz w:val="22"/>
        </w:rPr>
        <w:t>Article 15</w:t>
      </w:r>
    </w:p>
    <w:p>
      <w:r>
        <w:t>This Policy shall be interpreted and revised by the Finance Department.</w:t>
      </w:r>
    </w:p>
    <w:p>
      <w:pPr>
        <w:spacing w:before="240" w:after="80"/>
      </w:pPr>
      <w:r>
        <w:rPr>
          <w:b/>
          <w:color w:val="2B3A4E"/>
          <w:sz w:val="22"/>
        </w:rPr>
        <w:t>Article 16</w:t>
      </w:r>
    </w:p>
    <w:p>
      <w:r>
        <w:t>This Policy shall take effect on June 1, 2012. Any previously issued regulations inconsistent with this Policy shall be governed by this Policy.</w:t>
      </w:r>
    </w:p>
    <w:p>
      <w:pPr>
        <w:spacing w:before="240" w:after="80"/>
      </w:pPr>
      <w:r>
        <w:rPr>
          <w:b/>
          <w:color w:val="2B3A4E"/>
          <w:sz w:val="22"/>
        </w:rPr>
        <w:t>Article 17</w:t>
      </w:r>
    </w:p>
    <w:p>
      <w:r>
        <w:t>In case of special circumstances not covered by this Policy, the claimant may submit a written explanation to the Finance Department, which shall consult with relevant departments for resolution.</w:t>
      </w:r>
    </w:p>
    <w:p>
      <w:pPr>
        <w:spacing w:before="600"/>
      </w:pPr>
      <w:r>
        <w:rPr>
          <w:color w:val="333333"/>
          <w:sz w:val="22"/>
        </w:rPr>
        <w:t>Meridian Technologies, Inc.</w:t>
      </w:r>
    </w:p>
    <w:p>
      <w:r>
        <w:rPr>
          <w:color w:val="333333"/>
          <w:sz w:val="22"/>
        </w:rPr>
        <w:t>Finance Department</w:t>
      </w:r>
    </w:p>
    <w:p>
      <w:r>
        <w:rPr>
          <w:color w:val="333333"/>
          <w:sz w:val="22"/>
        </w:rPr>
        <w:t>May 15, 2012</w:t>
      </w:r>
    </w:p>
    <w:sectPr>
      <w:headerReference w:type="default" r:id="Reaf42ec04dae4423"/>
      <w:footerReference w:type="default" r:id="R3dedb6a4a0b54cc9"/>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77777"/>
        <w:sz w:val="16"/>
      </w:rPr>
      <w:fldChar w:fldCharType="begin"/>
    </w:r>
    <w:r>
      <w:rPr>
        <w:color w:val="777777"/>
        <w:sz w:val="16"/>
      </w:rPr>
      <w:instrText xml:space="preserve"> PAGE </w:instrText>
    </w:r>
    <w:r>
      <w:rPr>
        <w:color w:val="777777"/>
        <w:sz w:val="16"/>
      </w:rPr>
      <w:fldChar w:fldCharType="separate"/>
    </w:r>
    <w:r>
      <w:rPr>
        <w:color w:val="777777"/>
        <w:sz w:val="16"/>
      </w:rPr>
      <w:t>1</w:t>
    </w:r>
    <w:r>
      <w:rPr>
        <w:color w:val="777777"/>
        <w:sz w:val="16"/>
      </w:rPr>
      <w:fldChar w:fldCharType="end"/>
    </w:r>
  </w:p>
</w:ftr>
</file>

<file path=word/header1.xml><?xml version="1.0" encoding="utf-8"?>
<w:hdr xmlns:w="http://schemas.openxmlformats.org/wordprocessingml/2006/main">
  <w:p>
    <w:pPr>
      <w:jc w:val="right"/>
    </w:pPr>
    <w:r>
      <w:rPr>
        <w:color w:val="777777"/>
        <w:sz w:val="16"/>
      </w:rPr>
      <w:t>Travel and Business Entertainment Expense Reimbursement Management Policy</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12" w:lineRule="auto"/>
    </w:pPr>
    <w:rPr>
      <w:rFonts w:ascii="Calibri" w:hAnsi="Calibri" w:eastAsia="Microsoft YaHei"/>
      <w:color w:val="333333"/>
      <w:sz w:val="22"/>
    </w:rPr>
  </w:style>
  <w:style w:type="paragraph" w:styleId="Heading1">
    <w:name w:val="heading 1"/>
    <w:basedOn w:val="Normal"/>
    <w:pPr>
      <w:keepNext/>
      <w:keepLines/>
      <w:spacing w:before="400" w:after="200"/>
      <w:outlineLvl w:val="0"/>
    </w:pPr>
    <w:rPr>
      <w:rFonts w:ascii="Calibri" w:hAnsi="Calibri" w:eastAsia="Microsoft YaHei"/>
      <w:b/>
      <w:color w:val="2B3A4E"/>
      <w:sz w:val="28"/>
    </w:rPr>
  </w:style>
  <w:style w:type="paragraph" w:styleId="Heading2">
    <w:name w:val="heading 2"/>
    <w:basedOn w:val="Normal"/>
    <w:pPr>
      <w:keepNext/>
      <w:keepLines/>
      <w:spacing w:before="280" w:after="120"/>
      <w:outlineLvl w:val="1"/>
    </w:pPr>
    <w:rPr>
      <w:rFonts w:ascii="Calibri" w:hAnsi="Calibri" w:eastAsia="Microsoft YaHei"/>
      <w:b/>
      <w:color w:val="333333"/>
      <w:sz w:val="24"/>
    </w:rPr>
  </w:style>
</w:styles>
</file>

<file path=word/_rels/document.xml.rels><?xml version='1.0' encoding='UTF-8'?>
<Relationships xmlns="http://schemas.openxmlformats.org/package/2006/relationships"><Relationship Type="http://schemas.openxmlformats.org/officeDocument/2006/relationships/styles" Target="styles.xml" Id="R4938e9bec49b4d2b" /><Relationship Type="http://schemas.openxmlformats.org/officeDocument/2006/relationships/numbering" Target="numbering.xml" Id="R72b276b7b1184efe" /><Relationship Type="http://schemas.openxmlformats.org/officeDocument/2006/relationships/header" Target="header1.xml" Id="Reaf42ec04dae4423" /><Relationship Type="http://schemas.openxmlformats.org/officeDocument/2006/relationships/footer" Target="footer1.xml" Id="R3dedb6a4a0b54cc9" /><Relationship Type="http://schemas.openxmlformats.org/officeDocument/2006/relationships/settings" Target="settings.xml" Id="R68280e2fa6cc4862" /></Relationships>
</file>