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sz w:val="32"/>
        </w:rPr>
        <w:t>LAMBERG INDUSTRIES LTD.</w:t>
      </w:r>
    </w:p>
    <w:p>
      <w:pPr>
        <w:spacing w:before="80" w:after="160"/>
        <w:jc w:val="center"/>
      </w:pPr>
      <w:r>
        <w:rPr>
          <w:rFonts w:ascii="Calibri" w:hAnsi="Calibri"/>
          <w:b/>
          <w:sz w:val="28"/>
        </w:rPr>
        <w:t>Business Travel Expense Reimbursement Management Regulations</w:t>
      </w:r>
    </w:p>
    <w:p>
      <w:pPr>
        <w:spacing w:after="160"/>
        <w:jc w:val="left"/>
      </w:pPr>
      <w:r>
        <w:rPr>
          <w:rFonts w:ascii="Calibri" w:hAnsi="Calibri"/>
          <w:b w:val="0"/>
          <w:sz w:val="20"/>
        </w:rPr>
        <w:t>Doc No.: LBI-FIN-2024-001    |    Version: V3.0    |    Issuing Dept.: Finance Department    |    Effective Date: January 15, 2024    |    Revision Date: January 10, 2025</w:t>
      </w:r>
    </w:p>
    <w:p>
      <w:pPr>
        <w:spacing w:before="240" w:after="120"/>
        <w:jc w:val="left"/>
      </w:pPr>
      <w:r>
        <w:rPr>
          <w:rFonts w:ascii="Calibri" w:hAnsi="Calibri"/>
          <w:b/>
          <w:sz w:val="26"/>
        </w:rPr>
        <w:t>Chapter I General Provisions</w:t>
      </w:r>
    </w:p>
    <w:p>
      <w:pPr>
        <w:spacing w:after="120"/>
      </w:pPr>
      <w:r>
        <w:rPr>
          <w:rFonts w:ascii="Calibri" w:hAnsi="Calibri"/>
          <w:b w:val="0"/>
          <w:sz w:val="22"/>
        </w:rPr>
        <w:t>Article 1 In order to standardize the reimbursement management of business travel expenses, ensure the rationality, authenticity, and compliance of expense expenditures, these Regulations are formulated in accordance with the Company Financial Management System and relevant laws and regulations.</w:t>
      </w:r>
    </w:p>
    <w:p>
      <w:pPr>
        <w:spacing w:after="120"/>
      </w:pPr>
      <w:r>
        <w:rPr>
          <w:rFonts w:ascii="Calibri" w:hAnsi="Calibri"/>
          <w:b w:val="0"/>
          <w:sz w:val="22"/>
        </w:rPr>
        <w:t>Article 2 These Regulations shall apply to all on-duty employees of Lamberg Industries Ltd. and its various branches within India who incur expenses due to official business travel.</w:t>
      </w:r>
    </w:p>
    <w:p>
      <w:pPr>
        <w:spacing w:after="120"/>
      </w:pPr>
      <w:r>
        <w:rPr>
          <w:rFonts w:ascii="Calibri" w:hAnsi="Calibri"/>
          <w:b w:val="0"/>
          <w:sz w:val="22"/>
        </w:rPr>
        <w:t>Article 3 Business travel expense reimbursement shall follow the basic principles of "pre-approval, in-process control, and post-review" to ensure that every expense has clear business justification and a complete approval process.</w:t>
      </w:r>
    </w:p>
    <w:p>
      <w:pPr>
        <w:spacing w:before="240" w:after="120"/>
        <w:jc w:val="left"/>
      </w:pPr>
      <w:r>
        <w:rPr>
          <w:rFonts w:ascii="Calibri" w:hAnsi="Calibri"/>
          <w:b/>
          <w:sz w:val="26"/>
        </w:rPr>
        <w:t>Chapter II Definition and Scope of Reimbursable Expenses</w:t>
      </w:r>
    </w:p>
    <w:p>
      <w:pPr>
        <w:spacing w:after="120"/>
      </w:pPr>
      <w:r>
        <w:rPr>
          <w:rFonts w:ascii="Calibri" w:hAnsi="Calibri"/>
          <w:b w:val="0"/>
          <w:sz w:val="22"/>
        </w:rPr>
        <w:t>Article 4 Business travel expenses refer to reasonable and necessary expenses incurred by employees who, upon approval, travel to cities or regions other than their regular workplace to perform official duties. Specifically, the following categories are included:</w:t>
      </w:r>
    </w:p>
    <w:p>
      <w:pPr>
        <w:spacing w:after="40"/>
      </w:pPr>
      <w:r>
        <w:rPr>
          <w:rFonts w:ascii="Calibri" w:hAnsi="Calibri"/>
          <w:b/>
          <w:sz w:val="22"/>
        </w:rPr>
        <w:t>(1) Transportation Expenses</w:t>
      </w:r>
    </w:p>
    <w:p>
      <w:pPr>
        <w:spacing w:after="120"/>
        <w:ind w:firstLine="283"/>
      </w:pPr>
      <w:r>
        <w:rPr>
          <w:rFonts w:ascii="Calibri" w:hAnsi="Calibri"/>
          <w:b w:val="0"/>
          <w:sz w:val="22"/>
        </w:rPr>
        <w:t>Transportation expenses refer to costs incurred by employees while on official business travel using public transportation, including but not limited to railway transportation, highway passenger transport, urban rail transit, and taxi fares. Employees shall prioritize economical and reasonable means of transportation, controlling transportation expenses while meeting work timeliness requirements. Transportation expenses shall be reimbursed based on actual compliant receipts.</w:t>
      </w:r>
    </w:p>
    <w:p>
      <w:pPr>
        <w:spacing w:after="40"/>
      </w:pPr>
      <w:r>
        <w:rPr>
          <w:rFonts w:ascii="Calibri" w:hAnsi="Calibri"/>
          <w:b/>
          <w:sz w:val="22"/>
        </w:rPr>
        <w:t>(2) Accommodation Expenses</w:t>
      </w:r>
    </w:p>
    <w:p>
      <w:pPr>
        <w:spacing w:after="120"/>
        <w:ind w:firstLine="283"/>
      </w:pPr>
      <w:r>
        <w:rPr>
          <w:rFonts w:ascii="Calibri" w:hAnsi="Calibri"/>
          <w:b w:val="0"/>
          <w:sz w:val="22"/>
        </w:rPr>
        <w:t>Accommodation expenses refer to costs incurred by employees staying in the destination city during official business travel. The scope of reimbursable accommodation expenses includes not only hotel room charges but also reasonable incidental fees incurred during the stay, specifically: in-hotel dining expenses (such as breakfast, room service, etc.), hotel parking fees, business center usage fees (such as printing, faxing, etc. incurred for official purposes), city taxes and service charges levied by the accommodation facility, etc. The above incidental expenses shall be combined with accommodation expenses, submitted on the same reimbursement form, and shall not be split for reimbursement. Employees shall choose safe, hygienic, and conveniently accessible accommodation facilities, with accommodation standards appropriate to the employee's rank and the consumption level of the travel destination.</w:t>
      </w:r>
    </w:p>
    <w:p>
      <w:pPr>
        <w:spacing w:after="40"/>
      </w:pPr>
      <w:r>
        <w:rPr>
          <w:rFonts w:ascii="Calibri" w:hAnsi="Calibri"/>
          <w:b/>
          <w:sz w:val="22"/>
        </w:rPr>
        <w:t>(3) Dining Expenses</w:t>
      </w:r>
    </w:p>
    <w:p>
      <w:pPr>
        <w:spacing w:after="120"/>
        <w:ind w:firstLine="283"/>
      </w:pPr>
      <w:r>
        <w:rPr>
          <w:rFonts w:ascii="Calibri" w:hAnsi="Calibri"/>
          <w:b w:val="0"/>
          <w:sz w:val="22"/>
        </w:rPr>
        <w:t>Dining expenses refer to reasonable costs for meals taken at the business travel destination during official travel (excluding dining expenses already covered by the accommodation facility). If business entertainment meals are arranged during the travel period, they shall be reimbursed separately in accordance with the Company "Business Entertainment Expense Management Measures," and shall not be duplicated in travel dining expenses.</w:t>
      </w:r>
    </w:p>
    <w:p>
      <w:pPr>
        <w:spacing w:after="40"/>
      </w:pPr>
      <w:r>
        <w:rPr>
          <w:rFonts w:ascii="Calibri" w:hAnsi="Calibri"/>
          <w:b/>
          <w:sz w:val="22"/>
        </w:rPr>
        <w:t>(4) Other Reasonable and Necessary Expenses</w:t>
      </w:r>
    </w:p>
    <w:p>
      <w:pPr>
        <w:spacing w:after="120"/>
        <w:ind w:firstLine="283"/>
      </w:pPr>
      <w:r>
        <w:rPr>
          <w:rFonts w:ascii="Calibri" w:hAnsi="Calibri"/>
          <w:b w:val="0"/>
          <w:sz w:val="22"/>
        </w:rPr>
        <w:t>Other reasonable and necessary expenses refer to other costs directly related to official activities incurred during business travel, including but not limited to: communication expenses (official long-distance calls, internet communication, etc.), luggage storage fees, printing and copying fees for official documents, etc. The above expenses shall be supported by reasonable explanations and valid receipts.</w:t>
      </w:r>
    </w:p>
    <w:p>
      <w:pPr>
        <w:spacing w:after="40"/>
      </w:pPr>
      <w:r>
        <w:rPr>
          <w:rFonts w:ascii="Calibri" w:hAnsi="Calibri"/>
          <w:b/>
          <w:sz w:val="22"/>
        </w:rPr>
        <w:t>Article 5 The following expenses do not fall within the scope of travel reimbursement:</w:t>
      </w:r>
    </w:p>
    <w:p>
      <w:pPr>
        <w:spacing w:after="40"/>
      </w:pPr>
      <w:r>
        <w:rPr>
          <w:rFonts w:ascii="Calibri" w:hAnsi="Calibri"/>
          <w:b w:val="0"/>
          <w:sz w:val="22"/>
        </w:rPr>
        <w:t>(1) Personal consumption expenses, such as entertainment, shopping, sightseeing, etc.;</w:t>
      </w:r>
    </w:p>
    <w:p>
      <w:pPr>
        <w:spacing w:after="40"/>
      </w:pPr>
      <w:r>
        <w:rPr>
          <w:rFonts w:ascii="Calibri" w:hAnsi="Calibri"/>
          <w:b w:val="0"/>
          <w:sz w:val="22"/>
        </w:rPr>
        <w:t>(2) Additional expenses caused by personal reasons, such as rescheduling fees due to personal delays, excess baggage fees, etc.;</w:t>
      </w:r>
    </w:p>
    <w:p>
      <w:pPr>
        <w:spacing w:after="40"/>
      </w:pPr>
      <w:r>
        <w:rPr>
          <w:rFonts w:ascii="Calibri" w:hAnsi="Calibri"/>
          <w:b w:val="0"/>
          <w:sz w:val="22"/>
        </w:rPr>
        <w:t>(3) Expenses arising from unapproved additional itineraries;</w:t>
      </w:r>
    </w:p>
    <w:p>
      <w:pPr>
        <w:spacing w:after="120"/>
      </w:pPr>
      <w:r>
        <w:rPr>
          <w:rFonts w:ascii="Calibri" w:hAnsi="Calibri"/>
          <w:b w:val="0"/>
          <w:sz w:val="22"/>
        </w:rPr>
        <w:t>(4) Fines, compensation, and other abnormal expenditures.</w:t>
      </w:r>
    </w:p>
    <w:p>
      <w:pPr>
        <w:spacing w:before="240" w:after="120"/>
        <w:jc w:val="left"/>
      </w:pPr>
      <w:r>
        <w:rPr>
          <w:rFonts w:ascii="Calibri" w:hAnsi="Calibri"/>
          <w:b/>
          <w:sz w:val="26"/>
        </w:rPr>
        <w:t>Chapter III Reimbursement Process</w:t>
      </w:r>
    </w:p>
    <w:p>
      <w:pPr>
        <w:spacing w:after="120"/>
      </w:pPr>
      <w:r>
        <w:rPr>
          <w:rFonts w:ascii="Calibri" w:hAnsi="Calibri"/>
          <w:b w:val="0"/>
          <w:sz w:val="22"/>
        </w:rPr>
        <w:t>Article 6 Business travel expense reimbursement shall follow the standard process below:</w:t>
      </w:r>
    </w:p>
    <w:p>
      <w:pPr>
        <w:spacing w:after="40"/>
      </w:pPr>
      <w:r>
        <w:rPr>
          <w:rFonts w:ascii="Calibri" w:hAnsi="Calibri"/>
          <w:b/>
          <w:sz w:val="22"/>
        </w:rPr>
        <w:t>(1) Submission of Reimbursement Materials</w:t>
      </w:r>
    </w:p>
    <w:p>
      <w:pPr>
        <w:spacing w:after="120"/>
        <w:ind w:firstLine="283"/>
      </w:pPr>
      <w:r>
        <w:rPr>
          <w:rFonts w:ascii="Calibri" w:hAnsi="Calibri"/>
          <w:b w:val="0"/>
          <w:sz w:val="22"/>
        </w:rPr>
        <w:t>The traveler shall submit complete reimbursement materials to their department within ten working days after the conclusion of the business trip. Reimbursement materials shall include: a fully completed business travel expense reimbursement form, all original receipts (organized by category and neatly pasted), a copy of the travel approval form, and supporting documents such as work records or deliverables related to the business trip. The reimbursement form shall be filled out item by item, with truthful content and clear handwriting, and shall not be altered.</w:t>
      </w:r>
    </w:p>
    <w:p>
      <w:pPr>
        <w:spacing w:after="40"/>
      </w:pPr>
      <w:r>
        <w:rPr>
          <w:rFonts w:ascii="Calibri" w:hAnsi="Calibri"/>
          <w:b/>
          <w:sz w:val="22"/>
        </w:rPr>
        <w:t>(2) Department Head Review</w:t>
      </w:r>
    </w:p>
    <w:p>
      <w:pPr>
        <w:spacing w:after="120"/>
        <w:ind w:firstLine="283"/>
      </w:pPr>
      <w:r>
        <w:rPr>
          <w:rFonts w:ascii="Calibri" w:hAnsi="Calibri"/>
          <w:b w:val="0"/>
          <w:sz w:val="22"/>
        </w:rPr>
        <w:t>The department head of the traveler shall complete review within three working days after receiving the reimbursement materials. Review content includes: the authenticity and necessity of the business trip, the reasonableness and compliance of expense expenditures, the completeness and validity of receipts, and the accuracy of reimbursement amounts, etc. After passing review, the department head shall sign the reimbursement form for confirmation and forward it to the Finance Department.</w:t>
      </w:r>
    </w:p>
    <w:p>
      <w:pPr>
        <w:spacing w:after="40"/>
      </w:pPr>
      <w:r>
        <w:rPr>
          <w:rFonts w:ascii="Calibri" w:hAnsi="Calibri"/>
          <w:b/>
          <w:sz w:val="22"/>
        </w:rPr>
        <w:t>(3) Finance Department Re-review</w:t>
      </w:r>
    </w:p>
    <w:p>
      <w:pPr>
        <w:spacing w:after="120"/>
        <w:ind w:firstLine="283"/>
      </w:pPr>
      <w:r>
        <w:rPr>
          <w:rFonts w:ascii="Calibri" w:hAnsi="Calibri"/>
          <w:b w:val="0"/>
          <w:sz w:val="22"/>
        </w:rPr>
        <w:t>The Finance Department shall complete re-review within five working days after receiving the reimbursement materials reviewed by the department head. Re-review content includes: verification of receipt compliance and authenticity, calculation accuracy of reimbursement amounts, correctness of expense category classification, completeness of the approval process, etc. For issues identified during re-review, the Finance Department has the right to request the claimant to supplement materials or provide explanations. After passing re-review, the Finance Department shall sign the reimbursement form for confirmation.</w:t>
      </w:r>
    </w:p>
    <w:p>
      <w:pPr>
        <w:spacing w:after="40"/>
      </w:pPr>
      <w:r>
        <w:rPr>
          <w:rFonts w:ascii="Calibri" w:hAnsi="Calibri"/>
          <w:b/>
          <w:sz w:val="22"/>
        </w:rPr>
        <w:t>(4) Reimbursement Payment</w:t>
      </w:r>
    </w:p>
    <w:p>
      <w:pPr>
        <w:spacing w:after="120"/>
        <w:ind w:firstLine="283"/>
      </w:pPr>
      <w:r>
        <w:rPr>
          <w:rFonts w:ascii="Calibri" w:hAnsi="Calibri"/>
          <w:b w:val="0"/>
          <w:sz w:val="22"/>
        </w:rPr>
        <w:t>After completing re-review, the Finance Department shall pay the reimbursement amount to the claimant's designated bank account in accordance with the Company payment process. Under normal circumstances, the reimbursement shall be credited within seven working days after Finance Department re-review approval. If special circumstances require an extended payment cycle, the Finance Department shall promptly notify the claimant.</w:t>
      </w:r>
    </w:p>
    <w:p>
      <w:pPr>
        <w:spacing w:before="240" w:after="120"/>
        <w:jc w:val="left"/>
      </w:pPr>
      <w:r>
        <w:rPr>
          <w:rFonts w:ascii="Calibri" w:hAnsi="Calibri"/>
          <w:b/>
          <w:sz w:val="26"/>
        </w:rPr>
        <w:t>Chapter IV Requirements for Group Reimbursement</w:t>
      </w:r>
    </w:p>
    <w:p>
      <w:pPr>
        <w:spacing w:after="120"/>
      </w:pPr>
      <w:r>
        <w:rPr>
          <w:rFonts w:ascii="Calibri" w:hAnsi="Calibri"/>
          <w:b w:val="0"/>
          <w:sz w:val="22"/>
        </w:rPr>
        <w:t>Article 7 For group business travel (such as team travel for the same project, accompanying customer inspections, etc.), common expenses (such as collective transportation, shared meals, accommodation, etc.) may in general be combined for reimbursement, handled according to the following principles:</w:t>
      </w:r>
    </w:p>
    <w:p>
      <w:pPr>
        <w:spacing w:after="60"/>
        <w:ind w:left="567"/>
      </w:pPr>
      <w:r>
        <w:rPr>
          <w:rFonts w:ascii="Calibri" w:hAnsi="Calibri"/>
          <w:b w:val="0"/>
          <w:sz w:val="22"/>
        </w:rPr>
        <w:t>• Common expenses incurred by multiple persons may be collected by one person who acts as the reimbursement agent to submit the claim;</w:t>
      </w:r>
    </w:p>
    <w:p>
      <w:pPr>
        <w:spacing w:after="60"/>
        <w:ind w:left="567"/>
      </w:pPr>
      <w:r>
        <w:rPr>
          <w:rFonts w:ascii="Calibri" w:hAnsi="Calibri"/>
          <w:b w:val="0"/>
          <w:sz w:val="22"/>
        </w:rPr>
        <w:t>• Combined reimbursement expenses shall be truthfully reported according to actual participant numbers and consumption, and no inflation of numbers or amounts is permitted;</w:t>
      </w:r>
    </w:p>
    <w:p>
      <w:pPr>
        <w:spacing w:after="60"/>
        <w:ind w:left="567"/>
      </w:pPr>
      <w:r>
        <w:rPr>
          <w:rFonts w:ascii="Calibri" w:hAnsi="Calibri"/>
          <w:b w:val="0"/>
          <w:sz w:val="22"/>
        </w:rPr>
        <w:t>• If group travel involves different departments, the lead department shall organize reimbursement uniformly, with relevant departments providing cooperation;</w:t>
      </w:r>
    </w:p>
    <w:p>
      <w:pPr>
        <w:spacing w:after="60"/>
        <w:ind w:left="567"/>
      </w:pPr>
      <w:r>
        <w:rPr>
          <w:rFonts w:ascii="Calibri" w:hAnsi="Calibri"/>
          <w:b w:val="0"/>
          <w:sz w:val="22"/>
        </w:rPr>
        <w:t>• A list of participants and their department and position information shall be attached for combined reimbursement, to facilitate Finance Department verification;</w:t>
      </w:r>
    </w:p>
    <w:p>
      <w:pPr>
        <w:spacing w:after="60"/>
        <w:ind w:left="567"/>
      </w:pPr>
      <w:r>
        <w:rPr>
          <w:rFonts w:ascii="Calibri" w:hAnsi="Calibri"/>
          <w:b w:val="0"/>
          <w:sz w:val="22"/>
        </w:rPr>
        <w:t>• For expenses jointly used by multiple persons but with only one receipt (such as collective charter fees), participant information and expense allocation explanation shall be noted in the reimbursement form.</w:t>
      </w:r>
    </w:p>
    <w:p>
      <w:pPr>
        <w:spacing w:before="240" w:after="120"/>
        <w:jc w:val="left"/>
      </w:pPr>
      <w:r>
        <w:rPr>
          <w:rFonts w:ascii="Calibri" w:hAnsi="Calibri"/>
          <w:b/>
          <w:sz w:val="26"/>
        </w:rPr>
        <w:t>Chapter V Authenticity Documentation Requirements</w:t>
      </w:r>
    </w:p>
    <w:p>
      <w:pPr>
        <w:spacing w:after="120"/>
      </w:pPr>
      <w:r>
        <w:rPr>
          <w:rFonts w:ascii="Calibri" w:hAnsi="Calibri"/>
          <w:b w:val="0"/>
          <w:sz w:val="22"/>
        </w:rPr>
        <w:t>Article 8 To prove the authenticity and business relevance of business travel expenses, the claimant shall provide the following supporting documents (as applicable) when submitting reimbursement materials:</w:t>
      </w:r>
    </w:p>
    <w:p>
      <w:pPr>
        <w:spacing w:after="60"/>
        <w:ind w:left="567"/>
      </w:pPr>
      <w:r>
        <w:rPr>
          <w:rFonts w:ascii="Calibri" w:hAnsi="Calibri"/>
          <w:b w:val="0"/>
          <w:sz w:val="22"/>
        </w:rPr>
        <w:t>• Approved travel approval form or work dispatch notice;</w:t>
      </w:r>
    </w:p>
    <w:p>
      <w:pPr>
        <w:spacing w:after="60"/>
        <w:ind w:left="567"/>
      </w:pPr>
      <w:r>
        <w:rPr>
          <w:rFonts w:ascii="Calibri" w:hAnsi="Calibri"/>
          <w:b w:val="0"/>
          <w:sz w:val="22"/>
        </w:rPr>
        <w:t>• Meeting notices, meeting invitations, or meeting minutes related to the business trip;</w:t>
      </w:r>
    </w:p>
    <w:p>
      <w:pPr>
        <w:spacing w:after="60"/>
        <w:ind w:left="567"/>
      </w:pPr>
      <w:r>
        <w:rPr>
          <w:rFonts w:ascii="Calibri" w:hAnsi="Calibri"/>
          <w:b w:val="0"/>
          <w:sz w:val="22"/>
        </w:rPr>
        <w:t>• Project work plans, work logs, or work reports;</w:t>
      </w:r>
    </w:p>
    <w:p>
      <w:pPr>
        <w:spacing w:after="60"/>
        <w:ind w:left="567"/>
      </w:pPr>
      <w:r>
        <w:rPr>
          <w:rFonts w:ascii="Calibri" w:hAnsi="Calibri"/>
          <w:b w:val="0"/>
          <w:sz w:val="22"/>
        </w:rPr>
        <w:t>• Customer visit records or cooperation and exchange documents;</w:t>
      </w:r>
    </w:p>
    <w:p>
      <w:pPr>
        <w:spacing w:after="60"/>
        <w:ind w:left="567"/>
      </w:pPr>
      <w:r>
        <w:rPr>
          <w:rFonts w:ascii="Calibri" w:hAnsi="Calibri"/>
          <w:b w:val="0"/>
          <w:sz w:val="22"/>
        </w:rPr>
        <w:t>• Other relevant materials that can prove the authenticity of the business trip.</w:t>
      </w:r>
    </w:p>
    <w:p>
      <w:pPr>
        <w:spacing w:after="120"/>
      </w:pPr>
      <w:r>
        <w:rPr>
          <w:rFonts w:ascii="Calibri" w:hAnsi="Calibri"/>
          <w:b w:val="0"/>
          <w:sz w:val="22"/>
        </w:rPr>
        <w:t>The above supporting documents shall be consistent with relevant files archived internally within the Company. The Finance Department has the right to access internal archives for verification.</w:t>
      </w:r>
    </w:p>
    <w:p>
      <w:pPr>
        <w:spacing w:before="240" w:after="120"/>
        <w:jc w:val="left"/>
      </w:pPr>
      <w:r>
        <w:rPr>
          <w:rFonts w:ascii="Calibri" w:hAnsi="Calibri"/>
          <w:b/>
          <w:sz w:val="26"/>
        </w:rPr>
        <w:t>Chapter VI Acceptable Receipt Requirements</w:t>
      </w:r>
    </w:p>
    <w:p>
      <w:pPr>
        <w:spacing w:after="120"/>
      </w:pPr>
      <w:r>
        <w:rPr>
          <w:rFonts w:ascii="Calibri" w:hAnsi="Calibri"/>
          <w:b w:val="0"/>
          <w:sz w:val="22"/>
        </w:rPr>
        <w:t>Article 9 Receipts submitted for business travel expense reimbursement shall meet the following requirements:</w:t>
      </w:r>
    </w:p>
    <w:p>
      <w:pPr>
        <w:spacing w:after="40"/>
      </w:pPr>
      <w:r>
        <w:rPr>
          <w:rFonts w:ascii="Calibri" w:hAnsi="Calibri"/>
          <w:b/>
          <w:sz w:val="22"/>
        </w:rPr>
        <w:t>(1) Receipt Types</w:t>
      </w:r>
    </w:p>
    <w:p>
      <w:pPr>
        <w:spacing w:after="120"/>
        <w:ind w:firstLine="283"/>
      </w:pPr>
      <w:r>
        <w:rPr>
          <w:rFonts w:ascii="Calibri" w:hAnsi="Calibri"/>
          <w:b w:val="0"/>
          <w:sz w:val="22"/>
        </w:rPr>
        <w:t>Acceptable receipt types include: official invoices supervised by tax authorities, machine-printed or electronic tickets issued by public transport operators, electronic invoices issued by certified e-commerce platforms, machine-printed accommodation invoices issued by hotels and lodging facilities, etc. All receipts must be machine-printed or electronic; handwritten receipts will not be accepted.</w:t>
      </w:r>
    </w:p>
    <w:p>
      <w:pPr>
        <w:spacing w:after="40"/>
      </w:pPr>
      <w:r>
        <w:rPr>
          <w:rFonts w:ascii="Calibri" w:hAnsi="Calibri"/>
          <w:b/>
          <w:sz w:val="22"/>
        </w:rPr>
        <w:t>(2) Receipt Content</w:t>
      </w:r>
    </w:p>
    <w:p>
      <w:pPr>
        <w:spacing w:after="120"/>
        <w:ind w:firstLine="283"/>
      </w:pPr>
      <w:r>
        <w:rPr>
          <w:rFonts w:ascii="Calibri" w:hAnsi="Calibri"/>
          <w:b w:val="0"/>
          <w:sz w:val="22"/>
        </w:rPr>
        <w:t>Receipts shall contain the following basic information: name and official seal of the issuing entity, date of consumption, consumption items, amount, etc. Receipt content shall be clear and legible, without alterations, stains, or missing information.</w:t>
      </w:r>
    </w:p>
    <w:p>
      <w:pPr>
        <w:spacing w:after="40"/>
      </w:pPr>
      <w:r>
        <w:rPr>
          <w:rFonts w:ascii="Calibri" w:hAnsi="Calibri"/>
          <w:b/>
          <w:sz w:val="22"/>
        </w:rPr>
        <w:t>(3) Receipt Timeliness</w:t>
      </w:r>
    </w:p>
    <w:p>
      <w:pPr>
        <w:spacing w:after="120"/>
        <w:ind w:firstLine="283"/>
      </w:pPr>
      <w:r>
        <w:rPr>
          <w:rFonts w:ascii="Calibri" w:hAnsi="Calibri"/>
          <w:b w:val="0"/>
          <w:sz w:val="22"/>
        </w:rPr>
        <w:t>Receipts shall be within the valid usage period, and the receipt date shall correspond to the business travel period. Receipts outside the travel period will in principle not be reimbursed; special circumstances require a written explanation and dual approval by the department head and the Finance Department.</w:t>
      </w:r>
    </w:p>
    <w:p>
      <w:pPr>
        <w:spacing w:after="40"/>
      </w:pPr>
      <w:r>
        <w:rPr>
          <w:rFonts w:ascii="Calibri" w:hAnsi="Calibri"/>
          <w:b/>
          <w:sz w:val="22"/>
        </w:rPr>
        <w:t>(4) Electronic Receipts</w:t>
      </w:r>
    </w:p>
    <w:p>
      <w:pPr>
        <w:spacing w:after="120"/>
        <w:ind w:firstLine="283"/>
      </w:pPr>
      <w:r>
        <w:rPr>
          <w:rFonts w:ascii="Calibri" w:hAnsi="Calibri"/>
          <w:b w:val="0"/>
          <w:sz w:val="22"/>
        </w:rPr>
        <w:t>For electronic receipts (such as e-tickets, electronic invoices, etc.), the claimant shall provide complete electronic receipt information or printouts, ensuring that receipt numbers, QR codes, and other verification information are clear and identifiable. The Finance Department has the right to verify the authenticity of electronic receipts through official channels.</w:t>
      </w:r>
    </w:p>
    <w:p>
      <w:pPr>
        <w:spacing w:after="40"/>
      </w:pPr>
      <w:r>
        <w:rPr>
          <w:rFonts w:ascii="Calibri" w:hAnsi="Calibri"/>
          <w:b/>
          <w:sz w:val="22"/>
        </w:rPr>
        <w:t>(5) Overseas Receipts</w:t>
      </w:r>
    </w:p>
    <w:p>
      <w:pPr>
        <w:spacing w:after="120"/>
        <w:ind w:firstLine="283"/>
      </w:pPr>
      <w:r>
        <w:rPr>
          <w:rFonts w:ascii="Calibri" w:hAnsi="Calibri"/>
          <w:b w:val="0"/>
          <w:sz w:val="22"/>
        </w:rPr>
        <w:t>If the business trip involves overseas travel, overseas receipts shall be accompanied by a Chinese translation, indicating the date of consumption, items, and the RMB equivalent amount (calculated at a reasonable exchange rate during the travel period).</w:t>
      </w:r>
    </w:p>
    <w:p>
      <w:pPr>
        <w:spacing w:before="240" w:after="120"/>
        <w:jc w:val="left"/>
      </w:pPr>
      <w:r>
        <w:rPr>
          <w:rFonts w:ascii="Calibri" w:hAnsi="Calibri"/>
          <w:b/>
          <w:sz w:val="26"/>
        </w:rPr>
        <w:t>Chapter VII Supplementary Provisions</w:t>
      </w:r>
    </w:p>
    <w:p>
      <w:pPr>
        <w:spacing w:after="120"/>
      </w:pPr>
      <w:r>
        <w:rPr>
          <w:rFonts w:ascii="Calibri" w:hAnsi="Calibri"/>
          <w:b w:val="0"/>
          <w:sz w:val="22"/>
        </w:rPr>
        <w:t>Article 10 These Regulations shall be interpreted and revised by the Company Finance Department.</w:t>
      </w:r>
    </w:p>
    <w:p>
      <w:pPr>
        <w:spacing w:after="120"/>
      </w:pPr>
      <w:r>
        <w:rPr>
          <w:rFonts w:ascii="Calibri" w:hAnsi="Calibri"/>
          <w:b w:val="0"/>
          <w:sz w:val="22"/>
        </w:rPr>
        <w:t>Article 11 These Regulations shall take effect from the date of issuance. Where previously issued relevant regulations are inconsistent with these Regulations, these Regulations shall prevail.</w:t>
      </w:r>
    </w:p>
    <w:p>
      <w:pPr>
        <w:spacing w:after="120"/>
      </w:pPr>
      <w:r>
        <w:rPr>
          <w:rFonts w:ascii="Calibri" w:hAnsi="Calibri"/>
          <w:b w:val="0"/>
          <w:sz w:val="22"/>
        </w:rPr>
        <w:t>Article 12 Branches may formulate implementation rules based on local actual conditions, provided that the basic principles of these Regulations are not violated, and execute them after filing with the Company Finance Department.</w:t>
      </w:r>
    </w:p>
    <w:p>
      <w:pPr>
        <w:spacing w:before="240"/>
        <w:jc w:val="right"/>
      </w:pPr>
      <w:r>
        <w:rPr>
          <w:rFonts w:ascii="Calibri" w:hAnsi="Calibri"/>
          <w:b w:val="0"/>
          <w:sz w:val="22"/>
        </w:rPr>
        <w:t>Finance Department</w:t>
        <w:br/>
        <w:t>January 10,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