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Temporary Land Return Confirmation</w:t>
      </w:r>
    </w:p>
    <w:p/>
    <w:p>
      <w:r>
        <w:rPr>
          <w:sz w:val="24"/>
        </w:rPr>
        <w:t>Upon on-site inspection, the Lessee ××× Technology Co., Ltd. has completely removed the prefabricated office units and cleared all construction waste as of January 5, 2026, and the land has been restored to its original condition. No disputes exist between the parties.</w:t>
      </w:r>
    </w:p>
    <w:p>
      <w:r>
        <w:rPr>
          <w:sz w:val="24"/>
        </w:rPr>
      </w:r>
    </w:p>
    <w:p>
      <w:r>
        <w:rPr>
          <w:sz w:val="24"/>
        </w:rPr>
        <w:t>Lessor Signature: ××× Village Committee (Seal)</w:t>
      </w:r>
    </w:p>
    <w:p>
      <w:r>
        <w:rPr>
          <w:sz w:val="24"/>
        </w:rPr>
        <w:t>Date: January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