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Company Expense Reimbursement Policy (General Version)</w:t>
      </w:r>
    </w:p>
    <w:p/>
    <w:p>
      <w:r>
        <w:rPr>
          <w:sz w:val="24"/>
        </w:rPr>
        <w:t>Applies to all expense claims, including travel, utilities, venue rental, office supplies, etc.</w:t>
      </w:r>
    </w:p>
    <w:p>
      <w:r>
        <w:rPr>
          <w:sz w:val="24"/>
        </w:rPr>
      </w:r>
    </w:p>
    <w:p>
      <w:r>
        <w:rPr>
          <w:sz w:val="24"/>
        </w:rPr>
        <w:t>3. Invoice and Receipt Requirements</w:t>
      </w:r>
    </w:p>
    <w:p>
      <w:r>
        <w:rPr>
          <w:sz w:val="24"/>
        </w:rPr>
        <w:t>(1) VAT invoices (including e-invoices) or fiscal receipts must clearly state the full name of the buyer (consistent with business license), Taxpayer Identification Number (TIN), bank account and branch.</w:t>
      </w:r>
    </w:p>
    <w:p>
      <w:r>
        <w:rPr>
          <w:sz w:val="24"/>
        </w:rPr>
        <w:t>(2) Invoice item descriptions, quantities, unit prices, and amounts must match the actual transaction.</w:t>
      </w:r>
    </w:p>
    <w:p>
      <w:r>
        <w:rPr>
          <w:sz w:val="24"/>
        </w:rPr>
        <w:t>(3) The Taxpayer Identification Number must be the correct 18-digit Uniform Social Credit Code. Missing or incorrect TIN is not allowed.</w:t>
      </w:r>
    </w:p>
    <w:p>
      <w:r>
        <w:rPr>
          <w:sz w:val="24"/>
        </w:rPr>
        <w:t>(4) Payment proofs (bank slips, online banking screenshots) must clearly show the payer's name, payee's name, and transaction amount.</w:t>
      </w:r>
    </w:p>
    <w:p>
      <w:r>
        <w:rPr>
          <w:sz w:val="24"/>
        </w:rPr>
        <w:t>(5) Any invoice or receipt with a missing or incorrect TIN, buyer name, or payer information will be rejected.</w:t>
      </w:r>
    </w:p>
    <w:p>
      <w:r>
        <w:rPr>
          <w:sz w:val="24"/>
        </w:rPr>
        <w:t>(6) Rental invoices for immovable property must include the detailed property address in the remarks section.</w:t>
      </w:r>
    </w:p>
    <w:p>
      <w:r>
        <w:rPr>
          <w:sz w:val="24"/>
        </w:rPr>
      </w:r>
    </w:p>
    <w:p>
      <w:r>
        <w:rPr>
          <w:sz w:val="24"/>
        </w:rPr>
        <w:t>5. Claim Deadline</w:t>
      </w:r>
    </w:p>
    <w:p>
      <w:r>
        <w:rPr>
          <w:sz w:val="24"/>
        </w:rPr>
        <w:t>Claims must be submitted within 30 days after the expense is incurred.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March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