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79E326D">
      <w:pPr>
        <w:rPr>
          <w:rFonts w:hint="eastAsia"/>
        </w:rPr>
      </w:pPr>
      <w:r>
        <w:rPr>
          <w:rFonts w:hint="eastAsia"/>
        </w:rPr>
        <w:t>Regulations for the Reimbursement of Travel and Transportation Expenses for Educational Research Projects (General Version)</w:t>
      </w:r>
    </w:p>
    <w:p w14:paraId="523E8B15">
      <w:pPr>
        <w:rPr>
          <w:rFonts w:hint="eastAsia"/>
        </w:rPr>
      </w:pPr>
    </w:p>
    <w:p w14:paraId="1E573773">
      <w:pPr>
        <w:rPr>
          <w:rFonts w:hint="eastAsia"/>
        </w:rPr>
      </w:pPr>
      <w:r>
        <w:rPr>
          <w:rFonts w:hint="eastAsia"/>
        </w:rPr>
        <w:t>Target audience: All research and teaching staff, administrative personnel</w:t>
      </w:r>
    </w:p>
    <w:p w14:paraId="366E7B2B">
      <w:pPr>
        <w:rPr>
          <w:rFonts w:hint="eastAsia"/>
        </w:rPr>
      </w:pPr>
    </w:p>
    <w:p w14:paraId="27B54CD5">
      <w:pPr>
        <w:rPr>
          <w:rFonts w:hint="eastAsia"/>
        </w:rPr>
      </w:pPr>
      <w:r>
        <w:rPr>
          <w:rFonts w:hint="eastAsia"/>
        </w:rPr>
        <w:t>I. Definition of Reimbursement Expenses</w:t>
      </w:r>
    </w:p>
    <w:p w14:paraId="2E54F3A7">
      <w:pPr>
        <w:rPr>
          <w:rFonts w:hint="eastAsia"/>
        </w:rPr>
      </w:pPr>
    </w:p>
    <w:p w14:paraId="4D215C69">
      <w:pPr>
        <w:rPr>
          <w:rFonts w:hint="eastAsia"/>
        </w:rPr>
      </w:pPr>
      <w:r>
        <w:rPr>
          <w:rFonts w:hint="eastAsia"/>
        </w:rPr>
        <w:t>This standard applies to expenses incurred in connection with official business trips (including meetings, field studies, teaching support, academic exchanges, and the like).</w:t>
      </w:r>
    </w:p>
    <w:p w14:paraId="375658AF">
      <w:pPr>
        <w:rPr>
          <w:rFonts w:hint="eastAsia"/>
        </w:rPr>
      </w:pPr>
    </w:p>
    <w:p w14:paraId="74B244F3">
      <w:pPr>
        <w:rPr>
          <w:rFonts w:hint="eastAsia"/>
        </w:rPr>
      </w:pPr>
      <w:r>
        <w:rPr>
          <w:rFonts w:hint="eastAsia"/>
        </w:rPr>
        <w:t>- Transportation costs: Long-distance transportation expenses refer to the costs incurred for travel between your permanent residence and your destination city. These expenses include, but are not limited to, high-speed rail/train tickets, airline tickets, and long-distance bus tickets.</w:t>
      </w:r>
    </w:p>
    <w:p w14:paraId="74184FAF">
      <w:pPr>
        <w:rPr>
          <w:rFonts w:hint="eastAsia"/>
        </w:rPr>
      </w:pPr>
      <w:r>
        <w:rPr>
          <w:rFonts w:hint="eastAsia"/>
        </w:rPr>
        <w:t>- Urban transportation expenses: Refers to commuting costs incurred in the destination city, including taxi fares, ride-hailing fees, subway fares, and bus fares.</w:t>
      </w:r>
    </w:p>
    <w:p w14:paraId="270C8121">
      <w:pPr>
        <w:rPr>
          <w:rFonts w:hint="eastAsia"/>
        </w:rPr>
      </w:pPr>
      <w:r>
        <w:rPr>
          <w:rFonts w:hint="eastAsia"/>
        </w:rPr>
        <w:t>- Accommodation expenses: The room rates for hotels or legally recognized lodging establishments incurred during the business trip at the destination.</w:t>
      </w:r>
    </w:p>
    <w:p w14:paraId="6DA2BA90">
      <w:pPr>
        <w:rPr>
          <w:rFonts w:hint="eastAsia"/>
        </w:rPr>
      </w:pPr>
      <w:r>
        <w:rPr>
          <w:rFonts w:hint="eastAsia"/>
        </w:rPr>
        <w:t>- Other expenses: Approved conference registration fees, visa fees, and necessary baggage handling charges, etc.</w:t>
      </w:r>
    </w:p>
    <w:p w14:paraId="5A3668A8">
      <w:pPr>
        <w:rPr>
          <w:rFonts w:hint="eastAsia"/>
        </w:rPr>
      </w:pPr>
    </w:p>
    <w:p w14:paraId="4D41BEAB">
      <w:pPr>
        <w:rPr>
          <w:rFonts w:hint="eastAsia"/>
        </w:rPr>
      </w:pPr>
      <w:r>
        <w:rPr>
          <w:rFonts w:hint="eastAsia"/>
        </w:rPr>
        <w:t>II. Reimbursement Process</w:t>
      </w:r>
    </w:p>
    <w:p w14:paraId="4DED040B">
      <w:pPr>
        <w:rPr>
          <w:rFonts w:hint="eastAsia"/>
        </w:rPr>
      </w:pPr>
    </w:p>
    <w:p w14:paraId="68DD569B">
      <w:pPr>
        <w:rPr>
          <w:rFonts w:hint="eastAsia"/>
        </w:rPr>
      </w:pPr>
      <w:r>
        <w:rPr>
          <w:rFonts w:hint="eastAsia"/>
        </w:rPr>
        <w:t>To ensure funds are used in compliance, please strictly follow the procedures below:</w:t>
      </w:r>
    </w:p>
    <w:p w14:paraId="14531F30">
      <w:pPr>
        <w:rPr>
          <w:rFonts w:hint="eastAsia"/>
        </w:rPr>
      </w:pPr>
    </w:p>
    <w:p w14:paraId="119393F0">
      <w:pPr>
        <w:rPr>
          <w:rFonts w:hint="eastAsia"/>
        </w:rPr>
      </w:pPr>
      <w:r>
        <w:rPr>
          <w:rFonts w:hint="eastAsia"/>
        </w:rPr>
        <w:t>1. Submit the application: Log in to the financial system, complete the "Travel Expense Reimbursement Application Form," and associate it with the corresponding project number.</w:t>
      </w:r>
    </w:p>
    <w:p w14:paraId="1C0B6E2F">
      <w:pPr>
        <w:rPr>
          <w:rFonts w:hint="eastAsia"/>
        </w:rPr>
      </w:pPr>
      <w:r>
        <w:rPr>
          <w:rFonts w:hint="eastAsia"/>
        </w:rPr>
        <w:t>2. Attachments uploaded:</w:t>
      </w:r>
    </w:p>
    <w:p w14:paraId="3E0C305C">
      <w:pPr>
        <w:rPr>
          <w:rFonts w:hint="eastAsia"/>
        </w:rPr>
      </w:pPr>
      <w:r>
        <w:rPr>
          <w:rFonts w:hint="eastAsia"/>
        </w:rPr>
        <w:t xml:space="preserve">   - Upload the approved "Business Trip Assignment Form" or "Meeting Notice."</w:t>
      </w:r>
    </w:p>
    <w:p w14:paraId="39B0A11F">
      <w:pPr>
        <w:rPr>
          <w:rFonts w:hint="eastAsia"/>
        </w:rPr>
      </w:pPr>
      <w:r>
        <w:rPr>
          <w:rFonts w:hint="eastAsia"/>
        </w:rPr>
        <w:t xml:space="preserve">   - Upload clear scans or original electronic copies of all original receipts.</w:t>
      </w:r>
    </w:p>
    <w:p w14:paraId="56E11A56">
      <w:pPr>
        <w:rPr>
          <w:rFonts w:hint="eastAsia"/>
        </w:rPr>
      </w:pPr>
      <w:r>
        <w:rPr>
          <w:rFonts w:hint="eastAsia"/>
        </w:rPr>
        <w:t>3. Departmental Review: The project leader or department supervisor will review the authenticity of the itinerary and the reasonableness of the expenses.</w:t>
      </w:r>
    </w:p>
    <w:p w14:paraId="1E4502CD">
      <w:pPr>
        <w:rPr>
          <w:rFonts w:hint="eastAsia"/>
        </w:rPr>
      </w:pPr>
      <w:r>
        <w:rPr>
          <w:rFonts w:hint="eastAsia"/>
        </w:rPr>
        <w:t>4. Financial Review: The finance department verifies the compliance and accuracy of amounts on vouchers.</w:t>
      </w:r>
    </w:p>
    <w:p w14:paraId="1F8AB6F2">
      <w:pPr>
        <w:rPr>
          <w:rFonts w:hint="eastAsia"/>
        </w:rPr>
      </w:pPr>
      <w:r>
        <w:rPr>
          <w:rFonts w:hint="eastAsia"/>
        </w:rPr>
        <w:t>5. Reimbursement received: After approval, the funds will be transferred to your personal salary account within 5–7 business days.</w:t>
      </w:r>
    </w:p>
    <w:p w14:paraId="61ECA830">
      <w:pPr>
        <w:rPr>
          <w:rFonts w:hint="eastAsia"/>
        </w:rPr>
      </w:pPr>
    </w:p>
    <w:p w14:paraId="3D5744A7">
      <w:pPr>
        <w:rPr>
          <w:rFonts w:hint="eastAsia"/>
        </w:rPr>
      </w:pPr>
      <w:r>
        <w:rPr>
          <w:rFonts w:hint="eastAsia"/>
        </w:rPr>
        <w:t>III. Requirements for Bill Information</w:t>
      </w:r>
    </w:p>
    <w:p w14:paraId="6B6C7A9D">
      <w:pPr>
        <w:rPr>
          <w:rFonts w:hint="eastAsia"/>
        </w:rPr>
      </w:pPr>
    </w:p>
    <w:p w14:paraId="3F60C828">
      <w:pPr>
        <w:rPr>
          <w:rFonts w:hint="eastAsia"/>
        </w:rPr>
      </w:pPr>
      <w:r>
        <w:rPr>
          <w:rFonts w:hint="eastAsia"/>
        </w:rPr>
        <w:t>The financial audit will focus on the key information on the documents. Please make sure to:</w:t>
      </w:r>
    </w:p>
    <w:p w14:paraId="6CF844D9">
      <w:pPr>
        <w:rPr>
          <w:rFonts w:hint="eastAsia"/>
        </w:rPr>
      </w:pPr>
    </w:p>
    <w:p w14:paraId="670A5A38">
      <w:pPr>
        <w:rPr>
          <w:rFonts w:hint="eastAsia"/>
        </w:rPr>
      </w:pPr>
      <w:r>
        <w:rPr>
          <w:rFonts w:hint="eastAsia"/>
        </w:rPr>
        <w:t>- Time consistency: The date on the travel document must logically align with the dates on the "Business Trip Assignment Form" or itinerary.</w:t>
      </w:r>
    </w:p>
    <w:p w14:paraId="0A0745DE">
      <w:pPr>
        <w:rPr>
          <w:rFonts w:hint="eastAsia"/>
        </w:rPr>
      </w:pPr>
      <w:r>
        <w:rPr>
          <w:rFonts w:hint="eastAsia"/>
        </w:rPr>
        <w:t>- Location relevance: The departure and destination locations indicated on the travel documents must match the location of the official business trip.</w:t>
      </w:r>
    </w:p>
    <w:p w14:paraId="356FB382">
      <w:pPr>
        <w:rPr>
          <w:rFonts w:hint="eastAsia"/>
        </w:rPr>
      </w:pPr>
      <w:r>
        <w:rPr>
          <w:rFonts w:hint="eastAsia"/>
        </w:rPr>
        <w:t>- Information integrity: The ticket must include core elements such as the date, amount, service provider, and passenger name.</w:t>
      </w:r>
    </w:p>
    <w:p w14:paraId="07CB7306">
      <w:pPr>
        <w:rPr>
          <w:rFonts w:hint="eastAsia"/>
        </w:rPr>
      </w:pPr>
      <w:r>
        <w:rPr>
          <w:rFonts w:hint="eastAsia"/>
        </w:rPr>
        <w:t>- **Tax identification number (VAT / Partita IVA) consistency**: For any receipt that displays a VAT number associated with the passenger or the employer, the VAT number must match the official VAT number of the traveler’s affiliated institution (e.g., MIUR VAT: IT09876543210 or Scuola Normale Superiore VAT: IT12345678900). If a VAT number is present but incorrect, or if it belongs to a different entity, the receipt will be considered invalid and non‑reimbursable. Tickets without a VAT number are still acceptable, but any printed VAT number must be accurate.</w:t>
      </w:r>
    </w:p>
    <w:p w14:paraId="7FF8A160">
      <w:pPr>
        <w:rPr>
          <w:rFonts w:hint="eastAsia"/>
        </w:rPr>
      </w:pPr>
    </w:p>
    <w:p w14:paraId="765EE15D">
      <w:pPr>
        <w:rPr>
          <w:rFonts w:hint="eastAsia"/>
        </w:rPr>
      </w:pPr>
      <w:r>
        <w:rPr>
          <w:rFonts w:hint="eastAsia"/>
        </w:rPr>
        <w:t>IV. Requirements for Reimbursement by Multiple People</w:t>
      </w:r>
    </w:p>
    <w:p w14:paraId="599023A9">
      <w:pPr>
        <w:rPr>
          <w:rFonts w:hint="eastAsia"/>
        </w:rPr>
      </w:pPr>
    </w:p>
    <w:p w14:paraId="59DA0926">
      <w:pPr>
        <w:rPr>
          <w:rFonts w:hint="eastAsia"/>
        </w:rPr>
      </w:pPr>
      <w:r>
        <w:rPr>
          <w:rFonts w:hint="eastAsia"/>
        </w:rPr>
        <w:t>- Independent Reimbursement Principle: In principle, a "one person, one vote" system is adopted, meaning each participating individual should independently submit their own reimbursement application.</w:t>
      </w:r>
    </w:p>
    <w:p w14:paraId="5D3D6AFB">
      <w:pPr>
        <w:rPr>
          <w:rFonts w:hint="eastAsia"/>
        </w:rPr>
      </w:pPr>
      <w:r>
        <w:rPr>
          <w:rFonts w:hint="eastAsia"/>
        </w:rPr>
        <w:t>- Instructions for Combined Payment: If a single expense is incurred jointly by multiple individuals (e.g., a group taking a taxi together), one of the individuals must serve as the primary claimant and submit the reimbursement. The names of all accompanying passengers and their respective share amounts must be clearly listed in the remarks section. Duplicate reimbursements are strictly prohibited.</w:t>
      </w:r>
    </w:p>
    <w:p w14:paraId="31BB4C44">
      <w:pPr>
        <w:rPr>
          <w:rFonts w:hint="eastAsia"/>
        </w:rPr>
      </w:pPr>
    </w:p>
    <w:p w14:paraId="086D1F9D">
      <w:pPr>
        <w:rPr>
          <w:rFonts w:hint="eastAsia"/>
        </w:rPr>
      </w:pPr>
      <w:r>
        <w:rPr>
          <w:rFonts w:hint="eastAsia"/>
        </w:rPr>
        <w:t>V. Authenticity Verification Materials</w:t>
      </w:r>
    </w:p>
    <w:p w14:paraId="096C6D77">
      <w:pPr>
        <w:rPr>
          <w:rFonts w:hint="eastAsia"/>
        </w:rPr>
      </w:pPr>
    </w:p>
    <w:p w14:paraId="6BBABB37">
      <w:pPr>
        <w:rPr>
          <w:rFonts w:hint="eastAsia"/>
        </w:rPr>
      </w:pPr>
      <w:r>
        <w:rPr>
          <w:rFonts w:hint="eastAsia"/>
        </w:rPr>
        <w:t>In addition to the receipts, the following materials will serve as key evidence for verifying the authenticity of the itinerary; please submit them together:</w:t>
      </w:r>
    </w:p>
    <w:p w14:paraId="0926D8A0">
      <w:pPr>
        <w:rPr>
          <w:rFonts w:hint="eastAsia"/>
        </w:rPr>
      </w:pPr>
    </w:p>
    <w:p w14:paraId="1EAB4E99">
      <w:pPr>
        <w:rPr>
          <w:rFonts w:hint="eastAsia"/>
        </w:rPr>
      </w:pPr>
      <w:r>
        <w:rPr>
          <w:rFonts w:hint="eastAsia"/>
        </w:rPr>
        <w:t>- Dispatch/Approval Document: Such as the "Notice on Establishing an Education Support Team."</w:t>
      </w:r>
    </w:p>
    <w:p w14:paraId="2A0989D1">
      <w:pPr>
        <w:rPr>
          <w:rFonts w:hint="eastAsia"/>
        </w:rPr>
      </w:pPr>
      <w:r>
        <w:rPr>
          <w:rFonts w:hint="eastAsia"/>
        </w:rPr>
        <w:t>- Itinerary documents: such as airline itineraries, high-speed rail electronic tickets, boarding passes, etc.</w:t>
      </w:r>
    </w:p>
    <w:p w14:paraId="6C22E702">
      <w:pPr>
        <w:rPr>
          <w:rFonts w:hint="eastAsia"/>
        </w:rPr>
      </w:pPr>
      <w:r>
        <w:rPr>
          <w:rFonts w:hint="eastAsia"/>
        </w:rPr>
        <w:t>- Proof of activity: conference invitation letters, on-site photos, sign-in sheets, or records of teaching support activities, etc.</w:t>
      </w:r>
    </w:p>
    <w:p w14:paraId="03BCA88C">
      <w:pPr>
        <w:rPr>
          <w:rFonts w:hint="eastAsia"/>
        </w:rPr>
      </w:pPr>
    </w:p>
    <w:p w14:paraId="62DB608B">
      <w:pPr>
        <w:rPr>
          <w:rFonts w:hint="eastAsia"/>
        </w:rPr>
      </w:pPr>
      <w:r>
        <w:rPr>
          <w:rFonts w:hint="eastAsia"/>
        </w:rPr>
        <w:t>VI. Requirements for Reimbursable Invoices</w:t>
      </w:r>
    </w:p>
    <w:p w14:paraId="451E4DE4">
      <w:pPr>
        <w:rPr>
          <w:rFonts w:hint="eastAsia"/>
        </w:rPr>
      </w:pPr>
    </w:p>
    <w:p w14:paraId="478FDCCB">
      <w:pPr>
        <w:rPr>
          <w:rFonts w:hint="eastAsia"/>
        </w:rPr>
      </w:pPr>
      <w:r>
        <w:rPr>
          <w:rFonts w:hint="eastAsia"/>
        </w:rPr>
        <w:t>Compliant bill types:</w:t>
      </w:r>
    </w:p>
    <w:p w14:paraId="3C39138C">
      <w:pPr>
        <w:rPr>
          <w:rFonts w:hint="eastAsia"/>
        </w:rPr>
      </w:pPr>
      <w:r>
        <w:rPr>
          <w:rFonts w:hint="eastAsia"/>
        </w:rPr>
        <w:t>- Electronic ticket: A formal electronic invoice or itinerary issued by an airline or railway company (such as Italo or Trenitalia).</w:t>
      </w:r>
    </w:p>
    <w:p w14:paraId="441F8FE4">
      <w:pPr>
        <w:rPr>
          <w:rFonts w:hint="eastAsia"/>
        </w:rPr>
      </w:pPr>
      <w:r>
        <w:rPr>
          <w:rFonts w:hint="eastAsia"/>
        </w:rPr>
        <w:t>- Machine-printed invoices: hotel accommodation statements and tax invoices, as well as machine-printed taxi receipts.</w:t>
      </w:r>
    </w:p>
    <w:p w14:paraId="0C8809BE">
      <w:pPr>
        <w:rPr>
          <w:rFonts w:hint="eastAsia"/>
        </w:rPr>
      </w:pPr>
    </w:p>
    <w:p w14:paraId="629878FC">
      <w:pPr>
        <w:rPr>
          <w:rFonts w:hint="eastAsia"/>
        </w:rPr>
      </w:pPr>
      <w:r>
        <w:rPr>
          <w:rFonts w:hint="eastAsia"/>
        </w:rPr>
        <w:t>Non-compliant receipts (not reimbursable):</w:t>
      </w:r>
    </w:p>
    <w:p w14:paraId="66F30573">
      <w:pPr>
        <w:rPr>
          <w:rFonts w:hint="eastAsia"/>
        </w:rPr>
      </w:pPr>
      <w:r>
        <w:rPr>
          <w:rFonts w:hint="eastAsia"/>
        </w:rPr>
        <w:t>- Handwritten receipt or promissory note.</w:t>
      </w:r>
    </w:p>
    <w:p w14:paraId="1C6383F3">
      <w:pPr>
        <w:rPr>
          <w:rFonts w:hint="eastAsia"/>
        </w:rPr>
      </w:pPr>
      <w:r>
        <w:rPr>
          <w:rFonts w:hint="eastAsia"/>
        </w:rPr>
        <w:t>- "Booking Confirmation" serving solely as a reservation voucher but not yet actually used.</w:t>
      </w:r>
    </w:p>
    <w:p w14:paraId="065C41D0">
      <w:pPr>
        <w:rPr>
          <w:rFonts w:hint="eastAsia"/>
        </w:rPr>
      </w:pPr>
      <w:r>
        <w:rPr>
          <w:rFonts w:hint="eastAsia"/>
        </w:rPr>
        <w:t>- Non-official, personally named expense receipts.</w:t>
      </w:r>
    </w:p>
    <w:p w14:paraId="6BC42318">
      <w:r>
        <w:rPr>
          <w:rFonts w:hint="eastAsia"/>
        </w:rPr>
        <w:t>- Any receipt that contains a falsified or mismatched VAT number.</w:t>
      </w:r>
      <w:bookmarkStart w:id="0" w:name="_GoBack"/>
      <w:bookmarkEnd w:id="0"/>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3B042B"/>
    <w:rsid w:val="6AB4000B"/>
    <w:rsid w:val="6BBCF0E0"/>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810" w:lineRule="atLeast"/>
      <w:jc w:val="left"/>
    </w:pPr>
    <w:rPr>
      <w:rFonts w:hint="default" w:ascii="Georgia" w:hAnsi="Georgia" w:eastAsia="Georgia" w:cs="Georgia"/>
      <w:b/>
      <w:color w:val="111111"/>
      <w:kern w:val="44"/>
      <w:sz w:val="72"/>
      <w:szCs w:val="72"/>
      <w:lang w:val="en-US" w:eastAsia="zh-CN" w:bidi="ar"/>
    </w:rPr>
  </w:style>
  <w:style w:type="paragraph" w:styleId="3">
    <w:name w:val="heading 2"/>
    <w:basedOn w:val="1"/>
    <w:next w:val="1"/>
    <w:semiHidden/>
    <w:unhideWhenUsed/>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630" w:lineRule="atLeast"/>
      <w:jc w:val="left"/>
    </w:pPr>
    <w:rPr>
      <w:rFonts w:hint="default" w:ascii="Georgia" w:hAnsi="Georgia" w:eastAsia="Georgia" w:cs="Georgia"/>
      <w:b/>
      <w:color w:val="111111"/>
      <w:kern w:val="0"/>
      <w:sz w:val="54"/>
      <w:szCs w:val="54"/>
      <w:lang w:val="en-US" w:eastAsia="zh-CN" w:bidi="ar"/>
    </w:rPr>
  </w:style>
  <w:style w:type="paragraph" w:styleId="4">
    <w:name w:val="heading 3"/>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450" w:lineRule="atLeast"/>
      <w:jc w:val="left"/>
    </w:pPr>
    <w:rPr>
      <w:rFonts w:ascii="Georgia" w:hAnsi="Georgia" w:eastAsia="Georgia" w:cs="Georgia"/>
      <w:b/>
      <w:color w:val="111111"/>
      <w:kern w:val="0"/>
      <w:sz w:val="36"/>
      <w:szCs w:val="36"/>
      <w:lang w:val="en-US" w:eastAsia="zh-CN" w:bidi="ar"/>
    </w:rPr>
  </w:style>
  <w:style w:type="paragraph" w:styleId="5">
    <w:name w:val="heading 4"/>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390" w:lineRule="atLeast"/>
      <w:jc w:val="left"/>
    </w:pPr>
    <w:rPr>
      <w:rFonts w:hint="default" w:ascii="Georgia" w:hAnsi="Georgia" w:eastAsia="Georgia" w:cs="Georgia"/>
      <w:b/>
      <w:color w:val="111111"/>
      <w:kern w:val="0"/>
      <w:sz w:val="31"/>
      <w:szCs w:val="31"/>
      <w:lang w:val="en-US" w:eastAsia="zh-CN" w:bidi="ar"/>
    </w:rPr>
  </w:style>
  <w:style w:type="paragraph" w:styleId="6">
    <w:name w:val="heading 5"/>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1" w:after="240" w:afterAutospacing="0" w:line="345" w:lineRule="atLeast"/>
      <w:jc w:val="left"/>
    </w:pPr>
    <w:rPr>
      <w:rFonts w:hint="default" w:ascii="Georgia" w:hAnsi="Georgia" w:eastAsia="Georgia" w:cs="Georgia"/>
      <w:b/>
      <w:bCs/>
      <w:kern w:val="0"/>
      <w:sz w:val="27"/>
      <w:szCs w:val="27"/>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qFormat/>
    <w:uiPriority w:val="0"/>
    <w:pPr>
      <w:pBdr>
        <w:top w:val="none" w:color="auto" w:sz="0" w:space="0"/>
        <w:left w:val="single" w:color="6CE26C" w:sz="36" w:space="7"/>
        <w:bottom w:val="none" w:color="auto" w:sz="0" w:space="0"/>
        <w:right w:val="none" w:color="auto" w:sz="0" w:space="0"/>
      </w:pBdr>
      <w:shd w:val="clear"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57" w:lineRule="atLeast"/>
      <w:jc w:val="left"/>
    </w:pPr>
    <w:rPr>
      <w:rFonts w:ascii="Consolas" w:hAnsi="Consolas" w:eastAsia="Consolas" w:cs="Consolas"/>
      <w:kern w:val="0"/>
      <w:sz w:val="24"/>
      <w:szCs w:val="24"/>
      <w:lang w:val="en-US" w:eastAsia="zh-CN" w:bidi="ar"/>
    </w:rPr>
  </w:style>
  <w:style w:type="paragraph" w:styleId="9">
    <w:name w:val="Normal (Web)"/>
    <w:basedOn w:val="1"/>
    <w:qFormat/>
    <w:uiPriority w:val="0"/>
    <w:pPr>
      <w:spacing w:before="120" w:beforeAutospacing="0" w:after="45" w:afterAutospacing="0" w:line="360" w:lineRule="atLeast"/>
      <w:ind w:left="0" w:right="0"/>
      <w:jc w:val="left"/>
    </w:pPr>
    <w:rPr>
      <w:kern w:val="0"/>
      <w:sz w:val="24"/>
      <w:szCs w:val="24"/>
      <w:lang w:val="en-US" w:eastAsia="zh-CN" w:bidi="ar"/>
    </w:rPr>
  </w:style>
  <w:style w:type="character" w:styleId="12">
    <w:name w:val="FollowedHyperlink"/>
    <w:basedOn w:val="11"/>
    <w:qFormat/>
    <w:uiPriority w:val="0"/>
    <w:rPr>
      <w:color w:val="0099FF"/>
      <w:u w:val="none"/>
      <w:vertAlign w:val="baseline"/>
    </w:rPr>
  </w:style>
  <w:style w:type="character" w:styleId="13">
    <w:name w:val="Hyperlink"/>
    <w:basedOn w:val="11"/>
    <w:uiPriority w:val="0"/>
    <w:rPr>
      <w:color w:val="0099FF"/>
      <w:u w:val="none"/>
      <w:vertAlign w:val="baseline"/>
    </w:rPr>
  </w:style>
  <w:style w:type="character" w:styleId="14">
    <w:name w:val="HTML Code"/>
    <w:basedOn w:val="11"/>
    <w:uiPriority w:val="0"/>
    <w:rPr>
      <w:rFonts w:hint="default" w:ascii="Consolas" w:hAnsi="Consolas" w:eastAsia="Consolas" w:cs="Consolas"/>
      <w:color w:val="666555"/>
      <w:sz w:val="20"/>
      <w:shd w:val="clear" w:fill="F7F7F7"/>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634</Words>
  <Characters>3983</Characters>
  <TotalTime>0</TotalTime>
  <ScaleCrop>false</ScaleCrop>
  <LinksUpToDate>false</LinksUpToDate>
  <CharactersWithSpaces>4586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2026-04-20T19:16:00Z</dcterms:created>
  <dc:creator>test0</dc:creator>
  <cp:lastModifiedBy>张恩赐</cp:lastModifiedBy>
  <dcterms:modified xsi:type="dcterms:W3CDTF">2026-05-03T09:03:06Z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21D3BBD322244A2E1D0BE669C83270F3_43</vt:lpwstr>
  </property>
  <property fmtid="{D5CDD505-2E9C-101B-9397-08002B2CF9AE}" pid="4" name="AIGC">
    <vt:lpwstr>{"Label": 1, "ContentProducer": "001191330110MADHPQQY7L10000", "ProduceID": "ExportRequest(files=[ExportFile(docType=2, fileType=0)])", "ReservedCode1": "1b9a0fa3f8d1f096c5a4495d6cc67eb6ffd48e7c6b772ffa6541cacff03e8ad1", "ContentPropagator": "001191330110MADHPQQY7L10000", "PropagateID": "ExportRequest(files=[ExportFile(docType=2, fileType=0)])", "ReservedCode2": ""}</vt:lpwstr>
  </property>
  <property fmtid="{D5CDD505-2E9C-101B-9397-08002B2CF9AE}" pid="5" name="KSOTemplateDocerSaveRecord">
    <vt:lpwstr>eyJoZGlkIjoiNjM2MDFmNDgxNzY5MjEzNDM4MzhiMzVhNzYwOTI1ODYiLCJ1c2VySWQiOiIxNjM5NDUwMjI1In0=</vt:lpwstr>
  </property>
</Properties>
</file>