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995D1">
      <w:pPr>
        <w:pStyle w:val="2"/>
      </w:pPr>
      <w:bookmarkStart w:id="0" w:name="_GoBack"/>
      <w:r>
        <w:t>Policy for Reimbursement of Travel Expenses – Academic Activities</w:t>
      </w:r>
    </w:p>
    <w:bookmarkEnd w:id="0"/>
    <w:p w14:paraId="28C231FB">
      <w:pPr>
        <w:pStyle w:val="3"/>
      </w:pPr>
      <w:r>
        <w:t>Definition of Reimbursable Expenses</w:t>
      </w:r>
    </w:p>
    <w:p w14:paraId="6AF0A59A">
      <w:r>
        <w:t>“Travel expenses” under this policy include: train tickets, long - distance bus tickets, local public transport tickets (subway, bus), taxi fares, car rental fees, and fuel costs.</w:t>
      </w:r>
    </w:p>
    <w:p w14:paraId="13FB1CF3">
      <w:r>
        <w:t>Ancillary charges directly related to travel (e.g., baggage fees, booking fees, insurance) may be included in the total travel cost without separate breakdown.</w:t>
      </w:r>
    </w:p>
    <w:p w14:paraId="5BF6B6EF">
      <w:pPr>
        <w:pStyle w:val="3"/>
      </w:pPr>
      <w:r>
        <w:t>Reimbursement Procedure</w:t>
      </w:r>
    </w:p>
    <w:p w14:paraId="616BF1B1">
      <w:pPr>
        <w:pStyle w:val="4"/>
      </w:pPr>
      <w:r>
        <w:t>Submission</w:t>
      </w:r>
    </w:p>
    <w:p w14:paraId="2CD77368">
      <w:r>
        <w:t>The claimant submits a reimbursement form together with original receipts (electronic or paper) and supporting documents (e.g., invitation letter, conference notice, travel log).</w:t>
      </w:r>
    </w:p>
    <w:p w14:paraId="714F036F">
      <w:pPr>
        <w:pStyle w:val="4"/>
      </w:pPr>
      <w:r>
        <w:t>Department Head Review</w:t>
      </w:r>
    </w:p>
    <w:p w14:paraId="74879C0C">
      <w:r>
        <w:t>Verifies the direct connection between the expense and the work/academic activity.</w:t>
      </w:r>
    </w:p>
    <w:p w14:paraId="324E32C4">
      <w:pPr>
        <w:pStyle w:val="4"/>
      </w:pPr>
      <w:r>
        <w:t>Finance Department Verification</w:t>
      </w:r>
    </w:p>
    <w:p w14:paraId="7A95D076">
      <w:r>
        <w:t>Checks receipt compliance, amount accuracy, and conformity with general institutional policies.</w:t>
      </w:r>
    </w:p>
    <w:p w14:paraId="354CD5B1">
      <w:pPr>
        <w:pStyle w:val="4"/>
      </w:pPr>
      <w:r>
        <w:t>Reimbursement Payment</w:t>
      </w:r>
    </w:p>
    <w:p w14:paraId="5BA6EA65">
      <w:r>
        <w:t>Approved amounts are transferred to the designated bank account within 15 working days.</w:t>
      </w:r>
    </w:p>
    <w:p w14:paraId="495194BA">
      <w:pPr>
        <w:pStyle w:val="3"/>
      </w:pPr>
      <w:r>
        <w:t>Information Required on Receipts</w:t>
      </w:r>
    </w:p>
    <w:p w14:paraId="100E1752">
      <w:r>
        <w:t>Each receipt must clearly show: date of travel (day - month - year), departure and arrival cities (e.g., Napoli → Potenza), passenger name, fare, and payment status.</w:t>
      </w:r>
    </w:p>
    <w:p w14:paraId="1666E4F2">
      <w:r>
        <w:t>Detailed service provider information (e.g., station name, train number, seat class) is not subject to mandatory verification, but the receipt must remain intact.</w:t>
      </w:r>
    </w:p>
    <w:p w14:paraId="1525015D">
      <w:pPr>
        <w:pStyle w:val="3"/>
      </w:pPr>
      <w:r>
        <w:t>Multiple Persons Claim</w:t>
      </w:r>
    </w:p>
    <w:p w14:paraId="7E1867AC">
      <w:r>
        <w:t>For travel expenses incurred during the same academic activity, receipts from several participants may be submitted together, provided a list of all passenger names and proof of activity linkage is attached.</w:t>
      </w:r>
    </w:p>
    <w:p w14:paraId="75BE7A04">
      <w:pPr>
        <w:pStyle w:val="3"/>
      </w:pPr>
      <w:r>
        <w:t>Supporting Documents for Authenticity</w:t>
      </w:r>
    </w:p>
    <w:p w14:paraId="06EF9FE2">
      <w:r>
        <w:t>Commonly accepted documents include: invitation letters, lecture agreements, conference notices, work logs, approval forms, etc. They must match the time, location, and individuals involved in the reimbursement event.</w:t>
      </w:r>
    </w:p>
    <w:p w14:paraId="46C53BDE">
      <w:pPr>
        <w:pStyle w:val="3"/>
      </w:pPr>
      <w:r>
        <w:t>Acceptable Receipts</w:t>
      </w:r>
    </w:p>
    <w:p w14:paraId="6FD01D8D">
      <w:pPr>
        <w:pStyle w:val="4"/>
      </w:pPr>
      <w:r>
        <w:t>Acceptable</w:t>
      </w:r>
    </w:p>
    <w:p w14:paraId="29D3212F">
      <w:r>
        <w:t>Electronic train tickets (PDF/image), paper tickets (with QR code or barcode), taxi printed receipts, official car rental invoices.</w:t>
      </w:r>
    </w:p>
    <w:p w14:paraId="7BDC4A53">
      <w:pPr>
        <w:pStyle w:val="4"/>
      </w:pPr>
      <w:r>
        <w:t>Not acceptable</w:t>
      </w:r>
    </w:p>
    <w:p w14:paraId="738698CD">
      <w:r>
        <w:t>Handwritten receipts, purchase vouchers without date, group tickets without passenger identification (unless accompanied by a detailed passenger breakdown).</w:t>
      </w:r>
    </w:p>
    <w:p w14:paraId="0EF2CEF2">
      <w:r>
        <w:t>(This policy is general and not specific to any single reimbursement event.)</w:t>
      </w:r>
    </w:p>
    <w:p w14:paraId="312AA521">
      <w:r>
        <w:t>Issued by: Finance and Budget Office</w:t>
      </w:r>
    </w:p>
    <w:p w14:paraId="0DA64E82">
      <w:r>
        <w:t>Effective date: January 1, 2024</w:t>
      </w:r>
    </w:p>
    <w:p w14:paraId="348542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D7029"/>
    <w:rsid w:val="4DBD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2026-04-26T13:46:00Z</dcterms:created>
  <dc:creator>张恩赐</dc:creator>
  <cp:lastModifiedBy>张恩赐</cp:lastModifiedBy>
  <dcterms:modified xsi:type="dcterms:W3CDTF">2026-04-26T13:47:55Z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