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9D37" w14:textId="77777777" w:rsidR="00785BD4" w:rsidRDefault="00785BD4" w:rsidP="00785BD4">
      <w:r>
        <w:rPr>
          <w:rFonts w:hint="eastAsia"/>
        </w:rPr>
        <w:t xml:space="preserve">                Fixed Assets &amp; Office Supplies Procurement Reimbursement Policy</w:t>
      </w:r>
    </w:p>
    <w:p w14:paraId="6E1A1B6C" w14:textId="77777777" w:rsidR="00785BD4" w:rsidRDefault="00785BD4" w:rsidP="00785BD4"/>
    <w:p w14:paraId="7A9AF345" w14:textId="77777777" w:rsidR="00785BD4" w:rsidRDefault="00785BD4" w:rsidP="00785BD4">
      <w:r>
        <w:rPr>
          <w:rFonts w:hint="eastAsia"/>
        </w:rPr>
        <w:t>Chapter I General Provisions</w:t>
      </w:r>
    </w:p>
    <w:p w14:paraId="257393C8" w14:textId="77777777" w:rsidR="00785BD4" w:rsidRDefault="00785BD4" w:rsidP="00785BD4">
      <w:r>
        <w:rPr>
          <w:rFonts w:hint="eastAsia"/>
        </w:rPr>
        <w:t xml:space="preserve">    Article 1 This Policy is formulated to standardize the reimbursement management </w:t>
      </w:r>
    </w:p>
    <w:p w14:paraId="5DF920EB" w14:textId="77777777" w:rsidR="00785BD4" w:rsidRDefault="00785BD4" w:rsidP="00785BD4">
      <w:r>
        <w:rPr>
          <w:rFonts w:hint="eastAsia"/>
        </w:rPr>
        <w:t xml:space="preserve">    of fixed assets and office supplies procurement, ensuring that all procurement </w:t>
      </w:r>
    </w:p>
    <w:p w14:paraId="3970B93A" w14:textId="77777777" w:rsidR="00785BD4" w:rsidRDefault="00785BD4" w:rsidP="00785BD4">
      <w:r>
        <w:rPr>
          <w:rFonts w:hint="eastAsia"/>
        </w:rPr>
        <w:t xml:space="preserve">    activities are authentic, compliant, and traceable.</w:t>
      </w:r>
    </w:p>
    <w:p w14:paraId="347EC874" w14:textId="77777777" w:rsidR="00785BD4" w:rsidRDefault="00785BD4" w:rsidP="00785BD4">
      <w:r>
        <w:rPr>
          <w:rFonts w:hint="eastAsia"/>
        </w:rPr>
        <w:t xml:space="preserve">    Article 2 This Policy applies to all departments and overseas branches of the </w:t>
      </w:r>
    </w:p>
    <w:p w14:paraId="7EDCD092" w14:textId="77777777" w:rsidR="00785BD4" w:rsidRDefault="00785BD4" w:rsidP="00785BD4">
      <w:r>
        <w:rPr>
          <w:rFonts w:hint="eastAsia"/>
        </w:rPr>
        <w:t xml:space="preserve">    Company that procure fixed assets and office supplies for business purposes.</w:t>
      </w:r>
    </w:p>
    <w:p w14:paraId="783A6759" w14:textId="77777777" w:rsidR="00785BD4" w:rsidRDefault="00785BD4" w:rsidP="00785BD4"/>
    <w:p w14:paraId="739BBA57" w14:textId="77777777" w:rsidR="00785BD4" w:rsidRDefault="00785BD4" w:rsidP="00785BD4">
      <w:r>
        <w:rPr>
          <w:rFonts w:hint="eastAsia"/>
        </w:rPr>
        <w:t>Chapter II Definition of Reimbursable Expenses</w:t>
      </w:r>
    </w:p>
    <w:p w14:paraId="384882EF" w14:textId="77777777" w:rsidR="00785BD4" w:rsidRDefault="00785BD4" w:rsidP="00785BD4">
      <w:r>
        <w:rPr>
          <w:rFonts w:hint="eastAsia"/>
        </w:rPr>
        <w:t xml:space="preserve">    Article 3 For the purposes of this Policy, procurement expenses include, but are </w:t>
      </w:r>
    </w:p>
    <w:p w14:paraId="50D3D0E2" w14:textId="77777777" w:rsidR="00785BD4" w:rsidRDefault="00785BD4" w:rsidP="00785BD4">
      <w:r>
        <w:rPr>
          <w:rFonts w:hint="eastAsia"/>
        </w:rPr>
        <w:t xml:space="preserve">    not limited to, the following categories:</w:t>
      </w:r>
    </w:p>
    <w:p w14:paraId="69014192" w14:textId="77777777" w:rsidR="00785BD4" w:rsidRDefault="00785BD4" w:rsidP="00785BD4">
      <w:r>
        <w:rPr>
          <w:rFonts w:hint="eastAsia"/>
        </w:rPr>
        <w:t xml:space="preserve">        1. Equipment acquisition cost: the original purchase expenditure for computers, </w:t>
      </w:r>
    </w:p>
    <w:p w14:paraId="703D6536" w14:textId="77777777" w:rsidR="00785BD4" w:rsidRDefault="00785BD4" w:rsidP="00785BD4">
      <w:r>
        <w:rPr>
          <w:rFonts w:hint="eastAsia"/>
        </w:rPr>
        <w:t xml:space="preserve">           printers, projectors, and other fixed assets;</w:t>
      </w:r>
    </w:p>
    <w:p w14:paraId="7E60CD63" w14:textId="77777777" w:rsidR="00785BD4" w:rsidRDefault="00785BD4" w:rsidP="00785BD4">
      <w:r>
        <w:rPr>
          <w:rFonts w:hint="eastAsia"/>
        </w:rPr>
        <w:t xml:space="preserve">        2. Freight and insurance charges: logistics and insurance costs incurred in </w:t>
      </w:r>
    </w:p>
    <w:p w14:paraId="62B44A12" w14:textId="77777777" w:rsidR="00785BD4" w:rsidRDefault="00785BD4" w:rsidP="00785BD4">
      <w:r>
        <w:rPr>
          <w:rFonts w:hint="eastAsia"/>
        </w:rPr>
        <w:t xml:space="preserve">           transporting equipment from the supplier to the Company's designated </w:t>
      </w:r>
    </w:p>
    <w:p w14:paraId="398A7F2A" w14:textId="77777777" w:rsidR="00785BD4" w:rsidRDefault="00785BD4" w:rsidP="00785BD4">
      <w:r>
        <w:rPr>
          <w:rFonts w:hint="eastAsia"/>
        </w:rPr>
        <w:t xml:space="preserve">           office location;</w:t>
      </w:r>
    </w:p>
    <w:p w14:paraId="113D33F2" w14:textId="77777777" w:rsidR="00785BD4" w:rsidRDefault="00785BD4" w:rsidP="00785BD4">
      <w:r>
        <w:rPr>
          <w:rFonts w:hint="eastAsia"/>
        </w:rPr>
        <w:t xml:space="preserve">        3. Installation and commissioning fees: service charges arising from </w:t>
      </w:r>
    </w:p>
    <w:p w14:paraId="73FE7B8A" w14:textId="77777777" w:rsidR="00785BD4" w:rsidRDefault="00785BD4" w:rsidP="00785BD4">
      <w:r>
        <w:rPr>
          <w:rFonts w:hint="eastAsia"/>
        </w:rPr>
        <w:t xml:space="preserve">           professional installation, configuration, and commissioning;</w:t>
      </w:r>
    </w:p>
    <w:p w14:paraId="04D658EB" w14:textId="77777777" w:rsidR="00785BD4" w:rsidRDefault="00785BD4" w:rsidP="00785BD4">
      <w:r>
        <w:rPr>
          <w:rFonts w:hint="eastAsia"/>
        </w:rPr>
        <w:t xml:space="preserve">        4. Supporting consumables cost: consumable materials directly bundled with </w:t>
      </w:r>
    </w:p>
    <w:p w14:paraId="2E1DE58C" w14:textId="77777777" w:rsidR="00785BD4" w:rsidRDefault="00785BD4" w:rsidP="00785BD4">
      <w:r>
        <w:rPr>
          <w:rFonts w:hint="eastAsia"/>
        </w:rPr>
        <w:t xml:space="preserve">           the equipment, such as paper, toner cartridges, and ribbons;</w:t>
      </w:r>
    </w:p>
    <w:p w14:paraId="4BFBEBD9" w14:textId="77777777" w:rsidR="00785BD4" w:rsidRDefault="00785BD4" w:rsidP="00785BD4">
      <w:r>
        <w:rPr>
          <w:rFonts w:hint="eastAsia"/>
        </w:rPr>
        <w:t xml:space="preserve">        5. Taxes and duties: value-added tax, customs duties, and other taxes payable </w:t>
      </w:r>
    </w:p>
    <w:p w14:paraId="1A93C252" w14:textId="77777777" w:rsidR="00785BD4" w:rsidRDefault="00785BD4" w:rsidP="00785BD4">
      <w:r>
        <w:rPr>
          <w:rFonts w:hint="eastAsia"/>
        </w:rPr>
        <w:t xml:space="preserve">           in accordance with local tax laws.</w:t>
      </w:r>
    </w:p>
    <w:p w14:paraId="31927924" w14:textId="77777777" w:rsidR="00785BD4" w:rsidRDefault="00785BD4" w:rsidP="00785BD4">
      <w:r>
        <w:rPr>
          <w:rFonts w:hint="eastAsia"/>
        </w:rPr>
        <w:t xml:space="preserve">    All of the above expenses shall be aggregated into the total procurement cost </w:t>
      </w:r>
    </w:p>
    <w:p w14:paraId="5B3E1A24" w14:textId="77777777" w:rsidR="00785BD4" w:rsidRDefault="00785BD4" w:rsidP="00785BD4">
      <w:r>
        <w:rPr>
          <w:rFonts w:hint="eastAsia"/>
        </w:rPr>
        <w:t xml:space="preserve">    for the current transaction and submitted for reimbursement together.</w:t>
      </w:r>
    </w:p>
    <w:p w14:paraId="787DBC87" w14:textId="77777777" w:rsidR="00785BD4" w:rsidRDefault="00785BD4" w:rsidP="00785BD4"/>
    <w:p w14:paraId="0AB68500" w14:textId="77777777" w:rsidR="00785BD4" w:rsidRDefault="00785BD4" w:rsidP="00785BD4">
      <w:r>
        <w:rPr>
          <w:rFonts w:hint="eastAsia"/>
        </w:rPr>
        <w:lastRenderedPageBreak/>
        <w:t>Chapter III Reimbursement Workflow</w:t>
      </w:r>
    </w:p>
    <w:p w14:paraId="17191184" w14:textId="77777777" w:rsidR="00785BD4" w:rsidRDefault="00785BD4" w:rsidP="00785BD4">
      <w:r>
        <w:rPr>
          <w:rFonts w:hint="eastAsia"/>
        </w:rPr>
        <w:t xml:space="preserve">    Article 4 The Company's procurement reimbursement workflow is as follows:</w:t>
      </w:r>
    </w:p>
    <w:p w14:paraId="37C1B77E" w14:textId="51DB949D" w:rsidR="00785BD4" w:rsidRDefault="00785BD4" w:rsidP="00785BD4">
      <w:r>
        <w:rPr>
          <w:rFonts w:hint="eastAsia"/>
        </w:rPr>
        <w:t xml:space="preserve">        1. Submission of reimbursement materials</w:t>
      </w:r>
    </w:p>
    <w:p w14:paraId="1DA91BA4" w14:textId="45A21C5B" w:rsidR="00785BD4" w:rsidRDefault="00785BD4" w:rsidP="00785BD4">
      <w:r>
        <w:rPr>
          <w:rFonts w:hint="eastAsia"/>
        </w:rPr>
        <w:t xml:space="preserve">        2. Department head review</w:t>
      </w:r>
    </w:p>
    <w:p w14:paraId="7B962543" w14:textId="7FC94D00" w:rsidR="00785BD4" w:rsidRDefault="00785BD4" w:rsidP="00785BD4">
      <w:r>
        <w:rPr>
          <w:rFonts w:hint="eastAsia"/>
        </w:rPr>
        <w:t xml:space="preserve">        3. Finance department review</w:t>
      </w:r>
    </w:p>
    <w:p w14:paraId="4A206E81" w14:textId="54888255" w:rsidR="00785BD4" w:rsidRDefault="00785BD4" w:rsidP="00785BD4">
      <w:r>
        <w:rPr>
          <w:rFonts w:hint="eastAsia"/>
        </w:rPr>
        <w:t xml:space="preserve">        4. Reimbursement payment</w:t>
      </w:r>
    </w:p>
    <w:p w14:paraId="6CC4A634" w14:textId="77777777" w:rsidR="00785BD4" w:rsidRDefault="00785BD4" w:rsidP="00785BD4"/>
    <w:p w14:paraId="4F291AE4" w14:textId="77777777" w:rsidR="00785BD4" w:rsidRDefault="00785BD4" w:rsidP="00785BD4">
      <w:r>
        <w:rPr>
          <w:rFonts w:hint="eastAsia"/>
        </w:rPr>
        <w:t>Issuing Department: Group Finance Department</w:t>
      </w:r>
    </w:p>
    <w:p w14:paraId="76F97C5C" w14:textId="77777777" w:rsidR="00785BD4" w:rsidRDefault="00785BD4" w:rsidP="00785BD4">
      <w:r>
        <w:rPr>
          <w:rFonts w:hint="eastAsia"/>
        </w:rPr>
        <w:t>Issue Date: 1 March 2022</w:t>
      </w:r>
    </w:p>
    <w:p w14:paraId="20B5187A" w14:textId="5C24C5F6" w:rsidR="0013303E" w:rsidRDefault="00785BD4" w:rsidP="00785BD4">
      <w:r>
        <w:rPr>
          <w:rFonts w:hint="eastAsia"/>
        </w:rPr>
        <w:t>Version: V2.1</w:t>
      </w:r>
    </w:p>
    <w:sectPr w:rsidR="001330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3E"/>
    <w:rsid w:val="00094C46"/>
    <w:rsid w:val="0013303E"/>
    <w:rsid w:val="00540C52"/>
    <w:rsid w:val="00785BD4"/>
    <w:rsid w:val="00D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110EC"/>
  <w15:chartTrackingRefBased/>
  <w15:docId w15:val="{9CF31BD8-B7CC-455E-8F8F-D7A1A090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0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0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0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0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0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0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0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0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0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30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0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0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0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0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0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0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0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3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无右 毛</cp:lastModifiedBy>
  <cp:revision>4</cp:revision>
  <dcterms:created xsi:type="dcterms:W3CDTF">2026-05-02T16:27:00Z</dcterms:created>
  <dcterms:modified xsi:type="dcterms:W3CDTF">2026-05-22T14:03:00Z</dcterms:modified>
</cp:coreProperties>
</file>