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Fixed Assets &amp; Office Supplies Procurement Reimbursement Policy – Supplementary Clause V2.1-SUPP</w:t>
      </w:r>
    </w:p>
    <w:p>
      <w:r>
        <w:t>Effective Date: May 1, 2022</w:t>
      </w:r>
    </w:p>
    <w:p>
      <w:r>
        <w:t>Prepared by: Group Finance Department</w:t>
      </w:r>
    </w:p>
    <w:p/>
    <w:p>
      <w:r>
        <w:t>This supplementary clause amends Chapter II (Definition of Reimbursable Expenses) of the Fixed Assets &amp; Office Supplies Procurement Reimbursement Policy V2.1 to include the following additional category effective from May 1, 2022:</w:t>
      </w:r>
    </w:p>
    <w:p/>
    <w:p>
      <w:r>
        <w:t>6. Monthly Comprehensive Office Services Subscription</w:t>
      </w:r>
    </w:p>
    <w:p>
      <w:r>
        <w:t xml:space="preserve">   In response to supply chain disruptions and to support rapid domestic office setup, the company authorizes monthly comprehensive office services subscriptions as a reimbursable procurement category. This category covers consolidated monthly services including:</w:t>
      </w:r>
    </w:p>
    <w:p>
      <w:r>
        <w:t xml:space="preserve">   a) Office consumables supply (paper, stationery, folders, printing materials)</w:t>
      </w:r>
    </w:p>
    <w:p>
      <w:r>
        <w:t xml:space="preserve">   b) Facility maintenance services (cleaning supplies, plant care, basic upkeep)</w:t>
      </w:r>
    </w:p>
    <w:p>
      <w:r>
        <w:t xml:space="preserve">   c) IT infrastructure support and data processing services</w:t>
      </w:r>
    </w:p>
    <w:p>
      <w:r>
        <w:t xml:space="preserve">   d) Applicable taxes and service fees</w:t>
      </w:r>
    </w:p>
    <w:p/>
    <w:p>
      <w:r>
        <w:t xml:space="preserve">   The monthly subscription fee must not exceed ¥5,000 per office location per month. Receipts must be original Jiangsu VAT electronic ordinary invoices or equivalent compliant domestic invoices issued by authorized suppliers. The subscription period must be clearly stated on the invoice.</w:t>
      </w:r>
    </w:p>
    <w:p/>
    <w:p>
      <w:r>
        <w:t xml:space="preserve">   For domestic procurement under this supplementary clause, the supplier location (Jiangyin, Jiangsu Province) and the invoicing party (Jiangyin Xinchengdong Xueliang Daily Supplies Store) are fully compliant with company reimbursement standards, overriding any prior cross-border procurement requirements for this specific transaction.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