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29d23489fecc4f71" /></Relationships>
</file>

<file path=word/document.xml><?xml version="1.0" encoding="utf-8"?>
<w:document xmlns:r="http://schemas.openxmlformats.org/officeDocument/2006/relationships" xmlns:w="http://schemas.openxmlformats.org/wordprocessingml/2006/main">
  <w:body>
    <w:p>
      <w:pPr>
        <w:pStyle w:val="Title"/>
      </w:pPr>
      <w:r>
        <w:t>Reimbursement Management Policy for Temporary Accommodation During Remote Office Establishment</w:t>
      </w:r>
    </w:p>
    <w:p>
      <w:pPr>
        <w:spacing w:after="400"/>
        <w:ind w:firstLine="0"/>
        <w:jc w:val="right"/>
      </w:pPr>
      <w:r>
        <w:rPr>
          <w:rFonts w:ascii="Calibri" w:hAnsi="Calibri" w:eastAsia="Calibri"/>
          <w:color w:val="555555"/>
          <w:sz w:val="21"/>
        </w:rPr>
        <w:t>Doc. No.: GIT-FIN-2018-010    Ver.: V1.0    Effective Date: March 1, 2018</w:t>
      </w:r>
    </w:p>
    <w:p>
      <w:r>
        <w:t>To standardize the reimbursement management of temporary accommodation expenses during the company's remote branch office establishment period, and to ensure that all expenditures are properly documented, compliant, and transparent, this policy is hereby established. This policy applies to all employees dispatched by the company to remote locations for branch office establishment work.</w:t>
      </w:r>
    </w:p>
    <w:p>
      <w:pPr>
        <w:pStyle w:val="Heading1"/>
      </w:pPr>
      <w:r>
        <w:t>I. Definition of Reimbursable Expenses</w:t>
      </w:r>
    </w:p>
    <w:p>
      <w:r>
        <w:t>The term "temporary accommodation expenses during remote office establishment" as used in this policy refers to all reasonable expenditures incurred by an employee to secure temporary lodging while on a company-assigned dispatch to a remote city for branch office preparatory work. Specifically, these include:</w:t>
      </w:r>
    </w:p>
    <w:p>
      <w:pPr>
        <w:spacing w:after="80"/>
        <w:ind w:left="480" w:firstLine="0"/>
      </w:pPr>
      <w:r>
        <w:t>1. Room charges for temporary lodging, including but not limited to hotel guest room fees, serviced apartment rentals, and long-term apartment deposits and rents;</w:t>
      </w:r>
    </w:p>
    <w:p>
      <w:pPr>
        <w:spacing w:after="80"/>
        <w:ind w:left="480" w:firstLine="0"/>
      </w:pPr>
      <w:r>
        <w:t>2. Necessary incidental charges arising from the accommodation, including but not limited to in-room dining charges, hotel parking fees, internet usage fees, and laundry service fees during the lodging period;</w:t>
      </w:r>
    </w:p>
    <w:p>
      <w:pPr>
        <w:spacing w:after="80"/>
        <w:ind w:left="480" w:firstLine="0"/>
      </w:pPr>
      <w:r>
        <w:t>3. The items described in paragraphs 1 and 2 above shall be aggregated into a single accommodation expense total, which shall serve as the unified basis for reimbursement calculation.</w:t>
      </w:r>
    </w:p>
    <w:p>
      <w:r>
        <w:t>The following expenses are excluded from the scope of this policy: personal consumption, private travel expenses incurred outside working hours, and entertainment expenses unrelated to the establishment work.</w:t>
      </w:r>
    </w:p>
    <w:p>
      <w:pPr>
        <w:pStyle w:val="Heading1"/>
      </w:pPr>
      <w:r>
        <w:t>II. Reimbursement Process</w:t>
      </w:r>
    </w:p>
    <w:p>
      <w:r>
        <w:t>Reimbursement of temporary accommodation expenses during remote office establishment shall follow the complete process below:</w:t>
      </w:r>
    </w:p>
    <w:p>
      <w:pPr>
        <w:spacing w:after="80"/>
        <w:ind w:left="480" w:firstLine="0"/>
      </w:pPr>
      <w:r>
        <w:t>1. Submit reimbursement materials: Within ten business days of returning from the dispatch, the employee shall organize and submit complete reimbursement materials, including original expense receipts, the travel/dispatch approval form, and work records;</w:t>
      </w:r>
    </w:p>
    <w:p>
      <w:pPr>
        <w:spacing w:after="80"/>
        <w:ind w:left="480" w:firstLine="0"/>
      </w:pPr>
      <w:r>
        <w:t>2. Department head review: The direct department head shall review the submitted materials for authenticity, completeness, and relevance to the dispatch assignment, and sign off if everything is in order;</w:t>
      </w:r>
    </w:p>
    <w:p>
      <w:pPr>
        <w:spacing w:after="80"/>
        <w:ind w:left="480" w:firstLine="0"/>
      </w:pPr>
      <w:r>
        <w:t>3. Finance department verification: The Finance Department shall verify the compliance of receipts, the accuracy of amounts, and the completeness of materials. Additional explanations or supplementary evidence may be requested if necessary;</w:t>
      </w:r>
    </w:p>
    <w:p>
      <w:pPr>
        <w:spacing w:after="80"/>
        <w:ind w:left="480" w:firstLine="0"/>
      </w:pPr>
      <w:r>
        <w:t>4. Reimbursement disbursement: Upon approval by the Finance Department, the reimbursement amount shall be transferred to the employee's designated account in accordance with the company's standard payment cycle.</w:t>
      </w:r>
    </w:p>
    <w:p>
      <w:pPr>
        <w:pStyle w:val="Heading1"/>
      </w:pPr>
      <w:r>
        <w:t>III. Receipt Information Requirements</w:t>
      </w:r>
    </w:p>
    <w:p>
      <w:r>
        <w:t>Receipts attached to reimbursement claims must meet the following information requirements to ensure that expenses are traceable and verifiable:</w:t>
      </w:r>
    </w:p>
    <w:p>
      <w:pPr>
        <w:spacing w:after="80"/>
        <w:ind w:left="480" w:firstLine="0"/>
      </w:pPr>
      <w:r>
        <w:t>1. Receipts must clearly indicate the date of consumption and the city-level location, and the dates must be consistent with the dispatch period;</w:t>
      </w:r>
    </w:p>
    <w:p>
      <w:pPr>
        <w:spacing w:after="80"/>
        <w:ind w:left="480" w:firstLine="0"/>
      </w:pPr>
      <w:r>
        <w:t>2. Receipts must show the number of lodging nights and the corresponding expense breakdown, with room charges and incidental expenses listed separately for verification;</w:t>
      </w:r>
    </w:p>
    <w:p>
      <w:pPr>
        <w:spacing w:after="80"/>
        <w:ind w:left="480" w:firstLine="0"/>
      </w:pPr>
      <w:r>
        <w:t>3. The payer information on the receipt must match the name of the employee submitting the reimbursement. If payment was made on behalf of another person, a written explanation and supporting documents must be attached;</w:t>
      </w:r>
    </w:p>
    <w:p>
      <w:pPr>
        <w:spacing w:after="80"/>
        <w:ind w:left="480" w:firstLine="0"/>
      </w:pPr>
      <w:r>
        <w:t>4. All receipts must be original documents. Copies or scans may be retained as supplementary backups but shall not replace originals for reimbursement purposes.</w:t>
      </w:r>
    </w:p>
    <w:p>
      <w:pPr>
        <w:pStyle w:val="Heading1"/>
      </w:pPr>
      <w:r>
        <w:t>IV. Multi-Person Reimbursement Requirements</w:t>
      </w:r>
    </w:p>
    <w:p>
      <w:r>
        <w:t>If multiple employees are dispatched to the same city simultaneously for preparatory work, accommodation expense reimbursement shall be handled according to the following principles:</w:t>
      </w:r>
    </w:p>
    <w:p>
      <w:pPr>
        <w:spacing w:after="80"/>
        <w:ind w:left="480" w:firstLine="0"/>
      </w:pPr>
      <w:r>
        <w:t>1. When multiple employees share the same lodging facility, the total accommodation expense may be reasonably apportioned among the claimants or submitted as a consolidated claim, as determined by the department head based on the dispatch arrangement;</w:t>
      </w:r>
    </w:p>
    <w:p>
      <w:pPr>
        <w:spacing w:after="80"/>
        <w:ind w:left="480" w:firstLine="0"/>
      </w:pPr>
      <w:r>
        <w:t>2. Incidental expenses such as dining and parking incurred collectively by multiple employees may be included in the total accommodation expense, provided the number of persons is indicated;</w:t>
      </w:r>
    </w:p>
    <w:p>
      <w:pPr>
        <w:spacing w:after="80"/>
        <w:ind w:left="480" w:firstLine="0"/>
      </w:pPr>
      <w:r>
        <w:t>3. When employees stay at separate lodging facilities, each shall submit reimbursement materials independently. Receipts may not be combined or cross-used.</w:t>
      </w:r>
    </w:p>
    <w:p>
      <w:pPr>
        <w:pStyle w:val="Heading1"/>
      </w:pPr>
      <w:r>
        <w:t>V. Supporting Documents for Authenticity</w:t>
      </w:r>
    </w:p>
    <w:p>
      <w:r>
        <w:t>In addition to expense receipts, the claimant must provide supporting documents related to the dispatch assignment, including but not limited to:</w:t>
      </w:r>
    </w:p>
    <w:p>
      <w:pPr>
        <w:spacing w:after="80"/>
        <w:ind w:left="480" w:firstLine="0"/>
      </w:pPr>
      <w:r>
        <w:t>1. An approved travel/dispatch approval form or official letter stating the purpose of dispatch, destination, and estimated time period;</w:t>
      </w:r>
    </w:p>
    <w:p>
      <w:pPr>
        <w:spacing w:after="80"/>
        <w:ind w:left="480" w:firstLine="0"/>
      </w:pPr>
      <w:r>
        <w:t>2. Meeting minutes, business negotiation records, or work logs related to the establishment work;</w:t>
      </w:r>
    </w:p>
    <w:p>
      <w:pPr>
        <w:spacing w:after="80"/>
        <w:ind w:left="480" w:firstLine="0"/>
      </w:pPr>
      <w:r>
        <w:t>3. If the accommodation was arranged by the company's Administration Department, a confirmation record from the Administration Department must be provided;</w:t>
      </w:r>
    </w:p>
    <w:p>
      <w:pPr>
        <w:spacing w:after="80"/>
        <w:ind w:left="480" w:firstLine="0"/>
      </w:pPr>
      <w:r>
        <w:t>4. Any other documents that can demonstrate a direct connection between the expense incurred and the remote office establishment work.</w:t>
      </w:r>
    </w:p>
    <w:p>
      <w:pPr>
        <w:pStyle w:val="Heading1"/>
      </w:pPr>
      <w:r>
        <w:t>VI. Acceptable Invoice and Receipt Types</w:t>
      </w:r>
    </w:p>
    <w:p>
      <w:r>
        <w:t>In accordance with the company's financial management standards and local U.S. commercial receipt practices, acceptable receipt types must meet the following requirements:</w:t>
      </w:r>
    </w:p>
    <w:p>
      <w:pPr>
        <w:spacing w:after="80"/>
        <w:ind w:left="480" w:firstLine="0"/>
      </w:pPr>
      <w:r>
        <w:t>1. Machine-printed invoices, electronic invoices, credit card statements, and formal commercial receipts are acceptable. Invoices must display the merchant name, date of consumption, items consumed, and amount;</w:t>
      </w:r>
    </w:p>
    <w:p>
      <w:pPr>
        <w:spacing w:after="80"/>
        <w:ind w:left="480" w:firstLine="0"/>
      </w:pPr>
      <w:r>
        <w:t>2. Handwritten receipts, blank receipts without merchant information, personal transfer screenshots, or payment vouchers obtained through informal channels are not acceptable;</w:t>
      </w:r>
    </w:p>
    <w:p>
      <w:pPr>
        <w:spacing w:after="80"/>
        <w:ind w:left="480" w:firstLine="0"/>
      </w:pPr>
      <w:r>
        <w:t>3. Electronic receipts must be submitted as verifiable original electronic files or printouts, with invoice numbers, QR codes, and other information clearly legible;</w:t>
      </w:r>
    </w:p>
    <w:p>
      <w:pPr>
        <w:spacing w:after="80"/>
        <w:ind w:left="480" w:firstLine="0"/>
      </w:pPr>
      <w:r>
        <w:t>4. Foreign-currency receipts must indicate the currency. The Finance Department will convert the amounts using the company's standard exchange rate.</w:t>
      </w:r>
    </w:p>
    <w:p>
      <w:pPr>
        <w:spacing w:before="600"/>
        <w:ind w:firstLine="480"/>
      </w:pPr>
      <w:r>
        <w:t>This policy shall take effect from the date of issuance and shall be interpreted by the Finance Department. Matters not covered herein shall be handled in accordance with the company's relevant financial management policies.</w:t>
      </w:r>
    </w:p>
    <w:p>
      <w:pPr>
        <w:spacing w:before="800"/>
        <w:ind w:firstLine="0"/>
        <w:jc w:val="right"/>
      </w:pPr>
      <w:r>
        <w:rPr>
          <w:rFonts w:ascii="Calibri" w:hAnsi="Calibri" w:eastAsia="Calibri"/>
          <w:sz w:val="24"/>
        </w:rPr>
        <w:t>Global Innovation Technologies Inc.</w:t>
      </w:r>
    </w:p>
    <w:p>
      <w:pPr>
        <w:ind w:firstLine="0"/>
        <w:jc w:val="right"/>
      </w:pPr>
      <w:r>
        <w:rPr>
          <w:rFonts w:ascii="Calibri" w:hAnsi="Calibri" w:eastAsia="Calibri"/>
          <w:sz w:val="24"/>
        </w:rPr>
        <w:t>Finance Department    March 1, 2018</w:t>
      </w:r>
    </w:p>
    <w:sectPr>
      <w:headerReference w:type="default" r:id="R2e19c1bd39eb4386"/>
      <w:footerReference w:type="default" r:id="R64369b7a0208423d"/>
      <w:pgSz w:w="11906" w:h="16838"/>
      <w:pgMar w:top="1440" w:right="1440" w:bottom="1440" w:left="1440" w:header="720" w:footer="720"/>
    </w:sectPr>
  </w:body>
</w:document>
</file>

<file path=word/footer1.xml><?xml version="1.0" encoding="utf-8"?>
<w:ftr xmlns:w="http://schemas.openxmlformats.org/wordprocessingml/2006/main">
  <w:p>
    <w:pPr>
      <w:jc w:val="center"/>
    </w:pPr>
    <w:r>
      <w:rPr>
        <w:rFonts w:ascii="Calibri" w:hAnsi="Calibri" w:eastAsia="Calibri"/>
        <w:color w:val="777777"/>
        <w:sz w:val="18"/>
      </w:rPr>
      <w:t xml:space="preserve">Page </w:t>
    </w:r>
    <w:r>
      <w:rPr>
        <w:rFonts w:ascii="Calibri" w:hAnsi="Calibri" w:eastAsia="Calibri"/>
        <w:color w:val="777777"/>
        <w:sz w:val="18"/>
      </w:rPr>
      <w:fldChar w:fldCharType="begin"/>
    </w:r>
    <w:r>
      <w:rPr>
        <w:rFonts w:ascii="Calibri" w:hAnsi="Calibri" w:eastAsia="Calibri"/>
        <w:color w:val="777777"/>
        <w:sz w:val="18"/>
      </w:rPr>
      <w:instrText xml:space="preserve"> PAGE </w:instrText>
    </w:r>
    <w:r>
      <w:rPr>
        <w:rFonts w:ascii="Calibri" w:hAnsi="Calibri" w:eastAsia="Calibri"/>
        <w:color w:val="777777"/>
        <w:sz w:val="18"/>
      </w:rPr>
      <w:fldChar w:fldCharType="separate"/>
    </w:r>
    <w:r>
      <w:rPr>
        <w:rFonts w:ascii="Calibri" w:hAnsi="Calibri" w:eastAsia="Calibri"/>
        <w:color w:val="777777"/>
        <w:sz w:val="18"/>
      </w:rPr>
      <w:t>1</w:t>
    </w:r>
    <w:r>
      <w:rPr>
        <w:rFonts w:ascii="Calibri" w:hAnsi="Calibri" w:eastAsia="Calibri"/>
        <w:color w:val="777777"/>
        <w:sz w:val="18"/>
      </w:rPr>
      <w:fldChar w:fldCharType="end"/>
    </w:r>
    <w:r>
      <w:rPr>
        <w:rFonts w:ascii="Calibri" w:hAnsi="Calibri" w:eastAsia="Calibri"/>
        <w:color w:val="777777"/>
        <w:sz w:val="18"/>
      </w:rPr>
      <w:t xml:space="preserve"> of </w:t>
    </w:r>
    <w:r>
      <w:rPr>
        <w:rFonts w:ascii="Calibri" w:hAnsi="Calibri" w:eastAsia="Calibri"/>
        <w:color w:val="777777"/>
        <w:sz w:val="18"/>
      </w:rPr>
      <w:fldChar w:fldCharType="begin"/>
    </w:r>
    <w:r>
      <w:rPr>
        <w:rFonts w:ascii="Calibri" w:hAnsi="Calibri" w:eastAsia="Calibri"/>
        <w:color w:val="777777"/>
        <w:sz w:val="18"/>
      </w:rPr>
      <w:instrText xml:space="preserve"> NUMPAGES </w:instrText>
    </w:r>
    <w:r>
      <w:rPr>
        <w:rFonts w:ascii="Calibri" w:hAnsi="Calibri" w:eastAsia="Calibri"/>
        <w:color w:val="777777"/>
        <w:sz w:val="18"/>
      </w:rPr>
      <w:fldChar w:fldCharType="separate"/>
    </w:r>
    <w:r>
      <w:rPr>
        <w:rFonts w:ascii="Calibri" w:hAnsi="Calibri" w:eastAsia="Calibri"/>
        <w:color w:val="777777"/>
        <w:sz w:val="18"/>
      </w:rPr>
      <w:t>1</w:t>
    </w:r>
    <w:r>
      <w:rPr>
        <w:rFonts w:ascii="Calibri" w:hAnsi="Calibri" w:eastAsia="Calibri"/>
        <w:color w:val="777777"/>
        <w:sz w:val="18"/>
      </w:rPr>
      <w:fldChar w:fldCharType="end"/>
    </w:r>
  </w:p>
</w:ftr>
</file>

<file path=word/header1.xml><?xml version="1.0" encoding="utf-8"?>
<w:hdr xmlns:w="http://schemas.openxmlformats.org/wordprocessingml/2006/main">
  <w:p>
    <w:pPr>
      <w:jc w:val="right"/>
    </w:pPr>
    <w:r>
      <w:rPr>
        <w:rFonts w:ascii="Calibri" w:hAnsi="Calibri" w:eastAsia="Calibri"/>
        <w:color w:val="777777"/>
        <w:sz w:val="18"/>
      </w:rPr>
      <w:t>Global Innovation Technologies Inc. -- Internal Policy Document</w:t>
    </w:r>
  </w:p>
</w:hdr>
</file>

<file path=word/styles.xml><?xml version="1.0" encoding="utf-8"?>
<w:styles xmlns:w="http://schemas.openxmlformats.org/wordprocessingml/2006/main">
  <w:style w:type="paragraph" w:styleId="Normal" w:default="true">
    <w:name w:val="Normal"/>
    <w:pPr>
      <w:spacing w:after="120" w:line="400" w:lineRule="auto"/>
      <w:ind w:firstLine="480"/>
    </w:pPr>
    <w:rPr>
      <w:rFonts w:ascii="Calibri" w:hAnsi="Calibri" w:eastAsia="Calibri"/>
      <w:color w:val="333333"/>
      <w:sz w:val="24"/>
    </w:rPr>
  </w:style>
  <w:style w:type="paragraph" w:styleId="Title">
    <w:name w:val="Title"/>
    <w:basedOn w:val="Normal"/>
    <w:pPr>
      <w:spacing w:before="400" w:after="600"/>
      <w:ind w:firstLine="0"/>
      <w:jc w:val="center"/>
    </w:pPr>
    <w:rPr>
      <w:rFonts w:ascii="Calibri" w:hAnsi="Calibri" w:eastAsia="Calibri"/>
      <w:b/>
      <w:color w:val="1F3864"/>
      <w:sz w:val="36"/>
    </w:rPr>
  </w:style>
  <w:style w:type="paragraph" w:styleId="Heading1">
    <w:name w:val="heading 1"/>
    <w:basedOn w:val="Normal"/>
    <w:pPr>
      <w:keepNext/>
      <w:spacing w:before="360" w:after="160"/>
      <w:ind w:firstLine="0"/>
      <w:outlineLvl w:val="0"/>
    </w:pPr>
    <w:rPr>
      <w:rFonts w:ascii="Calibri" w:hAnsi="Calibri" w:eastAsia="Calibri"/>
      <w:b/>
      <w:color w:val="1F3864"/>
      <w:sz w:val="28"/>
    </w:rPr>
  </w:style>
</w:styles>
</file>

<file path=word/_rels/document.xml.rels><?xml version='1.0' encoding='UTF-8'?>
<Relationships xmlns="http://schemas.openxmlformats.org/package/2006/relationships"><Relationship Type="http://schemas.openxmlformats.org/officeDocument/2006/relationships/styles" Target="styles.xml" Id="Re7d9a75028c04bd7" /><Relationship Type="http://schemas.openxmlformats.org/officeDocument/2006/relationships/header" Target="header1.xml" Id="R2e19c1bd39eb4386" /><Relationship Type="http://schemas.openxmlformats.org/officeDocument/2006/relationships/footer" Target="footer1.xml" Id="R64369b7a0208423d" /></Relationships>
</file>