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53617" w14:textId="77777777" w:rsidR="00D201FA" w:rsidRDefault="00000000">
      <w:pPr>
        <w:jc w:val="center"/>
      </w:pPr>
      <w:r>
        <w:rPr>
          <w:rFonts w:ascii="Times New Roman" w:hAnsi="Times New Roman"/>
          <w:b/>
          <w:sz w:val="28"/>
        </w:rPr>
        <w:t>Company Travel and Emergency Accommodation Reimbursement Documentation Standards Manual</w:t>
      </w:r>
    </w:p>
    <w:p w14:paraId="55C8F1B0" w14:textId="77777777" w:rsidR="00D201FA" w:rsidRDefault="00D201FA"/>
    <w:p w14:paraId="18ECC4FB" w14:textId="77777777" w:rsidR="00D201FA" w:rsidRDefault="00000000">
      <w:pPr>
        <w:jc w:val="right"/>
      </w:pPr>
      <w:r>
        <w:rPr>
          <w:rFonts w:ascii="Times New Roman" w:hAnsi="Times New Roman"/>
        </w:rPr>
        <w:t>Prepared by: Corporate Finance Department</w:t>
      </w:r>
      <w:r>
        <w:rPr>
          <w:rFonts w:ascii="Times New Roman" w:hAnsi="Times New Roman"/>
        </w:rPr>
        <w:br/>
        <w:t>Effective Date: January 1, 2012</w:t>
      </w:r>
      <w:r>
        <w:rPr>
          <w:rFonts w:ascii="Times New Roman" w:hAnsi="Times New Roman"/>
        </w:rPr>
        <w:br/>
        <w:t>Version: V2.1</w:t>
      </w:r>
    </w:p>
    <w:p w14:paraId="4E4D9511" w14:textId="77777777" w:rsidR="00D201FA" w:rsidRDefault="00D201FA"/>
    <w:p w14:paraId="115C9CBF" w14:textId="77777777" w:rsidR="00D201FA" w:rsidRDefault="00000000">
      <w:r>
        <w:rPr>
          <w:rFonts w:ascii="Times New Roman" w:hAnsi="Times New Roman"/>
          <w:b/>
          <w:sz w:val="24"/>
        </w:rPr>
        <w:t>I. Definition of Reimbursable Expenses</w:t>
      </w:r>
    </w:p>
    <w:p w14:paraId="28F6109F" w14:textId="77777777" w:rsidR="00D201FA" w:rsidRDefault="00000000">
      <w:pPr>
        <w:ind w:left="432" w:firstLine="720"/>
      </w:pPr>
      <w:r>
        <w:rPr>
          <w:rFonts w:ascii="Times New Roman" w:hAnsi="Times New Roman"/>
          <w:sz w:val="24"/>
        </w:rPr>
        <w:t>The reimbursable expenses covered by these standards refer to reasonable and necessary expenditures incurred by employees during official business trips, approved emergency overtime operations, overseas assignments, and other company-directed external tasks. Specific categories include:</w:t>
      </w:r>
    </w:p>
    <w:p w14:paraId="02E87750" w14:textId="77777777" w:rsidR="00D201FA" w:rsidRDefault="00000000">
      <w:pPr>
        <w:ind w:left="432" w:firstLine="720"/>
      </w:pPr>
      <w:r>
        <w:rPr>
          <w:rFonts w:ascii="Times New Roman" w:hAnsi="Times New Roman"/>
          <w:sz w:val="24"/>
        </w:rPr>
        <w:t>(1) Transportation Expenses: Reasonable transportation costs incurred during official business travel, including airport and station transfers, inter-city long-distance transportation, local business commuting, and return transportation following emergency overtime. Local commuting is limited to actual work requirements and must correspond to the overtime or business trip period.</w:t>
      </w:r>
    </w:p>
    <w:p w14:paraId="2B35D97B" w14:textId="77777777" w:rsidR="00D201FA" w:rsidRDefault="00000000">
      <w:pPr>
        <w:ind w:left="432" w:firstLine="720"/>
      </w:pPr>
      <w:r>
        <w:rPr>
          <w:rFonts w:ascii="Times New Roman" w:hAnsi="Times New Roman"/>
          <w:sz w:val="24"/>
        </w:rPr>
        <w:t>(2) Accommodation Expenses: Hotel accommodation costs incurred during official business trips or pre-approved emergency overtime periods. In addition to the base room rate, accommodation expenses include necessary ancillary charges arising from the stay, such as in-hotel work meals, overnight parking fees, internet usage fees, room service charges, and applicable taxes. All such items are consolidated into the total accommodation cost for unified accounting and are not listed separately.</w:t>
      </w:r>
    </w:p>
    <w:p w14:paraId="4BE51DF9" w14:textId="77777777" w:rsidR="00D201FA" w:rsidRDefault="00000000">
      <w:pPr>
        <w:ind w:left="432" w:firstLine="720"/>
      </w:pPr>
      <w:r>
        <w:rPr>
          <w:rFonts w:ascii="Times New Roman" w:hAnsi="Times New Roman"/>
          <w:sz w:val="24"/>
        </w:rPr>
        <w:t>(3) Meal Expenses: Reasonable work meal costs incurred during business trips or overtime periods, excluding personal entertainment expenses and alcoholic beverage charges.</w:t>
      </w:r>
    </w:p>
    <w:p w14:paraId="2FBBC594" w14:textId="77777777" w:rsidR="00D201FA" w:rsidRDefault="00000000">
      <w:pPr>
        <w:ind w:left="432" w:firstLine="720"/>
      </w:pPr>
      <w:r>
        <w:rPr>
          <w:rFonts w:ascii="Times New Roman" w:hAnsi="Times New Roman"/>
          <w:sz w:val="24"/>
        </w:rPr>
        <w:t>(4) Other Expenses: Other necessary expenditures directly related to the specific business trip or emergency task that have received prior written approval, such as urgently procured technical supplies and communication fees.</w:t>
      </w:r>
    </w:p>
    <w:p w14:paraId="51979CBA" w14:textId="77777777" w:rsidR="00D201FA" w:rsidRDefault="00000000">
      <w:r>
        <w:rPr>
          <w:rFonts w:ascii="Times New Roman" w:hAnsi="Times New Roman"/>
          <w:b/>
          <w:sz w:val="24"/>
        </w:rPr>
        <w:t>II. Reimbursement Process</w:t>
      </w:r>
    </w:p>
    <w:p w14:paraId="40645CDE" w14:textId="77777777" w:rsidR="00D201FA" w:rsidRDefault="00000000">
      <w:pPr>
        <w:ind w:left="432" w:firstLine="720"/>
      </w:pPr>
      <w:r>
        <w:rPr>
          <w:rFonts w:ascii="Times New Roman" w:hAnsi="Times New Roman"/>
          <w:sz w:val="24"/>
        </w:rPr>
        <w:t>The company employs a standardized four-tier review reimbursement process to ensure that every expense is traceable and compliant. The specific workflow is as follows:</w:t>
      </w:r>
    </w:p>
    <w:p w14:paraId="654B8D8F" w14:textId="77777777" w:rsidR="00D201FA" w:rsidRDefault="00000000">
      <w:pPr>
        <w:ind w:left="432" w:firstLine="720"/>
      </w:pPr>
      <w:r>
        <w:rPr>
          <w:rFonts w:ascii="Times New Roman" w:hAnsi="Times New Roman"/>
          <w:sz w:val="24"/>
        </w:rPr>
        <w:lastRenderedPageBreak/>
        <w:t>(1) Submission: Within ten working days after the expense is incurred, the employee shall submit a reimbursement application through the company financial system, uploading complete scanned copies of receipts, background supporting documents, and overtime or business trip approval forms.</w:t>
      </w:r>
    </w:p>
    <w:p w14:paraId="1E8289C8" w14:textId="77777777" w:rsidR="00D201FA" w:rsidRDefault="00000000">
      <w:pPr>
        <w:ind w:left="432" w:firstLine="720"/>
      </w:pPr>
      <w:r>
        <w:rPr>
          <w:rFonts w:ascii="Times New Roman" w:hAnsi="Times New Roman"/>
          <w:sz w:val="24"/>
        </w:rPr>
        <w:t>(2) Department Head Review: The department head conducts a preliminary review of the authenticity, reasonableness, and relevance of the expenses to the work task. Upon confirmation, the application is forwarded to the Finance Department through the system.</w:t>
      </w:r>
    </w:p>
    <w:p w14:paraId="10EC878A" w14:textId="77777777" w:rsidR="00D201FA" w:rsidRDefault="00000000">
      <w:pPr>
        <w:ind w:left="432" w:firstLine="720"/>
      </w:pPr>
      <w:r>
        <w:rPr>
          <w:rFonts w:ascii="Times New Roman" w:hAnsi="Times New Roman"/>
          <w:sz w:val="24"/>
        </w:rPr>
        <w:t>(3) Finance Department Review: The Finance Department reviews the compliance of receipts, completeness of documentation, standardization of approval workflows, and accuracy of expense categorization. If questions arise, the application shall be returned for correction within three working days.</w:t>
      </w:r>
    </w:p>
    <w:p w14:paraId="5D18705B" w14:textId="77777777" w:rsidR="00D201FA" w:rsidRDefault="00000000">
      <w:pPr>
        <w:ind w:left="432" w:firstLine="720"/>
      </w:pPr>
      <w:r>
        <w:rPr>
          <w:rFonts w:ascii="Times New Roman" w:hAnsi="Times New Roman"/>
          <w:sz w:val="24"/>
        </w:rPr>
        <w:t>(4) Reimbursement Payment: Upon successful review, the Finance Department completes payment within five working days. For cross-border reimbursements involving currency conversion, the bank mid-market rate on the payment date shall apply.</w:t>
      </w:r>
    </w:p>
    <w:p w14:paraId="0D9B27E1" w14:textId="77777777" w:rsidR="00D201FA" w:rsidRDefault="00000000">
      <w:r>
        <w:rPr>
          <w:rFonts w:ascii="Times New Roman" w:hAnsi="Times New Roman"/>
          <w:b/>
          <w:sz w:val="24"/>
        </w:rPr>
        <w:t>III. Receipt Information Requirements</w:t>
      </w:r>
    </w:p>
    <w:p w14:paraId="1455ADE5" w14:textId="77777777" w:rsidR="00D201FA" w:rsidRDefault="00000000">
      <w:pPr>
        <w:ind w:left="432" w:firstLine="720"/>
      </w:pPr>
      <w:r>
        <w:rPr>
          <w:rFonts w:ascii="Times New Roman" w:hAnsi="Times New Roman"/>
          <w:sz w:val="24"/>
        </w:rPr>
        <w:t>Receipts attached to reimbursement claims must be original formal invoices, machine-printed receipts, or certified electronic invoices. Receipt information must be clearly legible and fully reflect key elements such as the date of consumption and the location of consumption (city-level precision). Specific merchant names, hotel names, restaurant names, and other detailed information shall be based solely on the receipt itself and are not to be repeated in background documents or these standards, ensuring the originality and verifiability of receipt information.</w:t>
      </w:r>
    </w:p>
    <w:p w14:paraId="35FCE4C9" w14:textId="77777777" w:rsidR="00D201FA" w:rsidRDefault="00000000">
      <w:r>
        <w:rPr>
          <w:rFonts w:ascii="Times New Roman" w:hAnsi="Times New Roman"/>
          <w:b/>
          <w:sz w:val="24"/>
        </w:rPr>
        <w:t>IV. Multi-Person Reimbursement Requirements</w:t>
      </w:r>
    </w:p>
    <w:p w14:paraId="41E1CE82" w14:textId="1EDD8A39" w:rsidR="00D201FA" w:rsidRDefault="009C0FE0">
      <w:pPr>
        <w:ind w:left="432" w:firstLine="720"/>
      </w:pPr>
      <w:r w:rsidRPr="009C0FE0">
        <w:rPr>
          <w:rFonts w:ascii="Times New Roman" w:hAnsi="Times New Roman"/>
          <w:sz w:val="24"/>
        </w:rPr>
        <w:t>For accommodation and meal expenses incurred by multiple employees on joint business trips or when participating in the same emergency project, consolidated reimbursement or combined per capita reimbursement is allowed, provided such expenses comply with company policies and are mutually confirmed by the involved employees. The specific allocation method and headcount proportion shall be clearly specified in the reimbursement notes, together with the relevant approval records attached.</w:t>
      </w:r>
    </w:p>
    <w:p w14:paraId="0EBC22C0" w14:textId="77777777" w:rsidR="00D201FA" w:rsidRDefault="00000000">
      <w:r>
        <w:rPr>
          <w:rFonts w:ascii="Times New Roman" w:hAnsi="Times New Roman"/>
          <w:b/>
          <w:sz w:val="24"/>
        </w:rPr>
        <w:t>V. Authenticity Supporting Documents</w:t>
      </w:r>
    </w:p>
    <w:p w14:paraId="628DEB33" w14:textId="77777777" w:rsidR="00D201FA" w:rsidRDefault="00000000">
      <w:pPr>
        <w:ind w:left="432" w:firstLine="720"/>
      </w:pPr>
      <w:r>
        <w:rPr>
          <w:rFonts w:ascii="Times New Roman" w:hAnsi="Times New Roman"/>
          <w:sz w:val="24"/>
        </w:rPr>
        <w:t xml:space="preserve">Employees applying for reimbursement must provide authenticity supporting documents corresponding to the reimbursement matter, including but not limited to </w:t>
      </w:r>
      <w:r>
        <w:rPr>
          <w:rFonts w:ascii="Times New Roman" w:hAnsi="Times New Roman"/>
          <w:sz w:val="24"/>
        </w:rPr>
        <w:lastRenderedPageBreak/>
        <w:t>project initiation notices, overtime approval forms, meeting invitations, work logs, email correspondence, and task completion reports. The above materials must contain core information such as the time and city of the expense occurrence and must corroborate with the receipt information to form a complete chain of evidence.</w:t>
      </w:r>
    </w:p>
    <w:p w14:paraId="7985005B" w14:textId="77777777" w:rsidR="00D201FA" w:rsidRDefault="00000000">
      <w:r>
        <w:rPr>
          <w:rFonts w:ascii="Times New Roman" w:hAnsi="Times New Roman"/>
          <w:b/>
          <w:sz w:val="24"/>
        </w:rPr>
        <w:t>VI. Eligible Receipt Requirements</w:t>
      </w:r>
    </w:p>
    <w:p w14:paraId="7E6B946C" w14:textId="77777777" w:rsidR="00D201FA" w:rsidRDefault="00000000">
      <w:pPr>
        <w:ind w:left="432" w:firstLine="720"/>
      </w:pPr>
      <w:r>
        <w:rPr>
          <w:rFonts w:ascii="Times New Roman" w:hAnsi="Times New Roman"/>
          <w:sz w:val="24"/>
        </w:rPr>
        <w:t>In accordance with international reimbursement practices and the company's financial management requirements, eligible receipts must satisfy the following conditions:</w:t>
      </w:r>
    </w:p>
    <w:p w14:paraId="0029ECB3" w14:textId="77777777" w:rsidR="00D201FA" w:rsidRDefault="00000000">
      <w:pPr>
        <w:ind w:left="432" w:firstLine="720"/>
      </w:pPr>
      <w:r>
        <w:rPr>
          <w:rFonts w:ascii="Times New Roman" w:hAnsi="Times New Roman"/>
          <w:sz w:val="24"/>
        </w:rPr>
        <w:t>(1) Receipt Type: Only machine-printed invoices, electronic invoices, formal tax receipts, and credit card transaction vouchers are accepted. Handwritten notes, informal receipts, and receipts whose authenticity cannot be verified are not eligible for reimbursement.</w:t>
      </w:r>
    </w:p>
    <w:p w14:paraId="636A2D12" w14:textId="77777777" w:rsidR="00D201FA" w:rsidRDefault="00000000">
      <w:pPr>
        <w:ind w:left="432" w:firstLine="720"/>
      </w:pPr>
      <w:r>
        <w:rPr>
          <w:rFonts w:ascii="Times New Roman" w:hAnsi="Times New Roman"/>
          <w:sz w:val="24"/>
        </w:rPr>
        <w:t>(2) Receipt Elements: Receipts must specify the date of consumption, the city of consumption, the consumption items, the amount, and the payment method. Foreign currency transactions must be accompanied by the applicable exchange rate conversion statement or credit card statement.</w:t>
      </w:r>
    </w:p>
    <w:p w14:paraId="7B500585" w14:textId="77777777" w:rsidR="00D201FA" w:rsidRDefault="00000000">
      <w:pPr>
        <w:ind w:left="432" w:firstLine="720"/>
      </w:pPr>
      <w:r>
        <w:rPr>
          <w:rFonts w:ascii="Times New Roman" w:hAnsi="Times New Roman"/>
          <w:sz w:val="24"/>
        </w:rPr>
        <w:t>(3) Timeliness Requirement: The receipt issuance date must be logically consistent with the business trip or overtime dates. For special circumstances resulting in delayed receipt issuance, a written explanation signed by the department head is required.</w:t>
      </w:r>
    </w:p>
    <w:p w14:paraId="47F0C2D1" w14:textId="77777777" w:rsidR="00D201FA" w:rsidRDefault="00000000">
      <w:pPr>
        <w:ind w:left="432" w:firstLine="720"/>
      </w:pPr>
      <w:r>
        <w:rPr>
          <w:rFonts w:ascii="Times New Roman" w:hAnsi="Times New Roman"/>
          <w:sz w:val="24"/>
        </w:rPr>
        <w:t>(4) Special Circumstances: For temporary accommodation expenses arising from emergency overtime, the overtime approval record and the department head's approval email must be submitted concurrently for the expense to be eligible for reimbursement.</w:t>
      </w:r>
    </w:p>
    <w:p w14:paraId="7A6E9D5F" w14:textId="77777777" w:rsidR="00D201FA" w:rsidRDefault="00D201FA"/>
    <w:p w14:paraId="0098305D" w14:textId="77777777" w:rsidR="00D201FA" w:rsidRDefault="00D201FA"/>
    <w:p w14:paraId="69841428" w14:textId="77777777" w:rsidR="00D201FA" w:rsidRDefault="00000000">
      <w:pPr>
        <w:jc w:val="right"/>
      </w:pPr>
      <w:r>
        <w:rPr>
          <w:rFonts w:ascii="Times New Roman" w:hAnsi="Times New Roman"/>
        </w:rPr>
        <w:t>Corporate Finance Department</w:t>
      </w:r>
      <w:r>
        <w:rPr>
          <w:rFonts w:ascii="Times New Roman" w:hAnsi="Times New Roman"/>
        </w:rPr>
        <w:br/>
        <w:t>January 1, 2012</w:t>
      </w:r>
    </w:p>
    <w:sectPr w:rsidR="00D201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14620311">
    <w:abstractNumId w:val="8"/>
  </w:num>
  <w:num w:numId="2" w16cid:durableId="2043900119">
    <w:abstractNumId w:val="6"/>
  </w:num>
  <w:num w:numId="3" w16cid:durableId="965355146">
    <w:abstractNumId w:val="5"/>
  </w:num>
  <w:num w:numId="4" w16cid:durableId="153838240">
    <w:abstractNumId w:val="4"/>
  </w:num>
  <w:num w:numId="5" w16cid:durableId="1875581176">
    <w:abstractNumId w:val="7"/>
  </w:num>
  <w:num w:numId="6" w16cid:durableId="1504465524">
    <w:abstractNumId w:val="3"/>
  </w:num>
  <w:num w:numId="7" w16cid:durableId="1329098225">
    <w:abstractNumId w:val="2"/>
  </w:num>
  <w:num w:numId="8" w16cid:durableId="126240747">
    <w:abstractNumId w:val="1"/>
  </w:num>
  <w:num w:numId="9" w16cid:durableId="1884099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37DB"/>
    <w:rsid w:val="009C0FE0"/>
    <w:rsid w:val="00AA1D8D"/>
    <w:rsid w:val="00B47730"/>
    <w:rsid w:val="00CB0664"/>
    <w:rsid w:val="00D201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146689"/>
  <w14:defaultImageDpi w14:val="300"/>
  <w15:docId w15:val="{2A3EF88D-D070-4ECF-9A5F-08FF524B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799</Words>
  <Characters>5215</Characters>
  <Application>Microsoft Office Word</Application>
  <DocSecurity>0</DocSecurity>
  <Lines>98</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响 李</cp:lastModifiedBy>
  <cp:revision>2</cp:revision>
  <dcterms:created xsi:type="dcterms:W3CDTF">2013-12-23T23:15:00Z</dcterms:created>
  <dcterms:modified xsi:type="dcterms:W3CDTF">2026-05-12T08:14:00Z</dcterms:modified>
  <cp:category/>
</cp:coreProperties>
</file>