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Business Travel Accommodation Reimbursement Policy</w:t>
      </w:r>
    </w:p>
    <w:p>
      <w:r>
        <w:rPr>
          <w:b/>
        </w:rPr>
        <w:t>Doc. No.: GIT-FIN-2012-022</w:t>
      </w:r>
      <w:r>
        <w:br/>
        <w:t>Ver.: V1.2</w:t>
      </w:r>
      <w:r>
        <w:br/>
        <w:t>Effective Date: July 1, 2012</w:t>
      </w:r>
    </w:p>
    <w:p/>
    <w:p>
      <w:r>
        <w:t>To standardize the reimbursement of accommodation expenses incurred during company-approved business travel, field service assignments, and client-site dispatches, and to ensure compliance, transparency, and cost control, this policy is hereby established. This policy applies to all employees of Global Innovation Technologies Inc. who are dispatched to domestic or international locations for business purposes.</w:t>
      </w:r>
    </w:p>
    <w:p>
      <w:pPr>
        <w:pStyle w:val="Heading1"/>
      </w:pPr>
      <w:r>
        <w:t>I. Definition of Reimbursable Accommodation Expenses</w:t>
      </w:r>
    </w:p>
    <w:p>
      <w:r>
        <w:t>The term "business travel accommodation expenses" refers to reasonable lodging costs incurred during an approved business trip, specifically including:</w:t>
      </w:r>
    </w:p>
    <w:p>
      <w:r>
        <w:t>1. Room charges for single-occupancy hotel accommodations during the approved trip period, including the room rate, applicable taxes, and standard service fees;</w:t>
      </w:r>
    </w:p>
    <w:p>
      <w:r>
        <w:t>2. Mandatory destination marketing fees (DMF) and tourism taxes levied by the host municipality, provided they are itemized on the hotel folio and are not discretionary charges;</w:t>
      </w:r>
    </w:p>
    <w:p>
      <w:r>
        <w:t>3. Standard government taxes including Goods and Services Tax (GST), Harmonized Sales Tax (HST), and provincial or state sales taxes, provided they are shown as separate line items on the receipt.</w:t>
      </w:r>
    </w:p>
    <w:p>
      <w:r>
        <w:t>The following are excluded: personal entertainment expenses, minibar charges, in-room movie rentals, spa or wellness services, room upgrades for personal comfort, laundry services unless the trip exceeds seven consecutive days, and charges for non-business guests.</w:t>
      </w:r>
    </w:p>
    <w:p>
      <w:pPr>
        <w:pStyle w:val="Heading1"/>
      </w:pPr>
      <w:r>
        <w:t>II. Reimbursement Limits by Region and Job Level</w:t>
      </w:r>
    </w:p>
    <w:p>
      <w:r>
        <w:t>Accommodation expenses are subject to the following nightly caps, inclusive of all applicable taxes and standard fees. The cap applies to the total folio amount per night, not the base room rate alone:</w:t>
      </w:r>
    </w:p>
    <w:p>
      <w:r>
        <w:t>1. North America – Tier 1 Cities (New York, San Francisco, Toronto, Vancouver):</w:t>
      </w:r>
    </w:p>
    <w:p>
      <w:r>
        <w:t xml:space="preserve">   Senior Manager and above: CAD / USD 220.00 per night</w:t>
      </w:r>
    </w:p>
    <w:p>
      <w:r>
        <w:t xml:space="preserve">   Manager / Supervisor: CAD / USD 180.00 per night</w:t>
      </w:r>
    </w:p>
    <w:p>
      <w:r>
        <w:t xml:space="preserve">   Individual Contributor / Engineer: CAD / USD 150.00 per night</w:t>
      </w:r>
    </w:p>
    <w:p>
      <w:r>
        <w:t>2. North America – Tier 2 Cities (Calgary, Edmonton, Ottawa, Denver, Portland):</w:t>
      </w:r>
    </w:p>
    <w:p>
      <w:r>
        <w:t xml:space="preserve">   Senior Manager and above: CAD / USD 190.00 per night</w:t>
      </w:r>
    </w:p>
    <w:p>
      <w:r>
        <w:t xml:space="preserve">   Manager / Supervisor: CAD / USD 160.00 per night</w:t>
      </w:r>
    </w:p>
    <w:p>
      <w:r>
        <w:t xml:space="preserve">   Individual Contributor / Engineer: CAD / USD 130.00 per night</w:t>
      </w:r>
    </w:p>
    <w:p>
      <w:r>
        <w:t>3. North America – Tier 3 Cities (Grande Prairie, Lethbridge, Billings, Boise, etc.):</w:t>
      </w:r>
    </w:p>
    <w:p>
      <w:r>
        <w:t xml:space="preserve">   Senior Manager and above: CAD / USD 170.00 per night</w:t>
      </w:r>
    </w:p>
    <w:p>
      <w:r>
        <w:t xml:space="preserve">   Manager / Supervisor: CAD / USD 140.00 per night</w:t>
      </w:r>
    </w:p>
    <w:p>
      <w:r>
        <w:t xml:space="preserve">   Individual Contributor / Engineer: CAD / USD 120.00 per night</w:t>
      </w:r>
    </w:p>
    <w:p>
      <w:r>
        <w:t>4. European Union: EUR 140.00 / 120.00 / 100.00 per night for the three respective levels;</w:t>
      </w:r>
    </w:p>
    <w:p>
      <w:r>
        <w:t>5. Asia-Pacific: USD 160.00 / 130.00 / 110.00 equivalent per night for the three respective levels.</w:t>
      </w:r>
    </w:p>
    <w:p/>
    <w:p>
      <w:r>
        <w:t>If the actual nightly accommodation cost exceeds the applicable cap due to seasonal demand, limited availability, or client-mandated proximity requirements, the employee must obtain pre-approval from the Department Head or Regional Director with a written justification. Without pre-approval, reimbursement is capped at the standard limit.</w:t>
      </w:r>
    </w:p>
    <w:p>
      <w:pPr>
        <w:pStyle w:val="Heading1"/>
      </w:pPr>
      <w:r>
        <w:t>III. Hotel Selection and Booking Requirements</w:t>
      </w:r>
    </w:p>
    <w:p>
      <w:r>
        <w:t>1. Preferred hotel chains: Holiday Inn Express, Hampton Inn, Courtyard by Marriott, Fairfield Inn, or equivalent mid-tier business hotels with complimentary breakfast;</w:t>
      </w:r>
    </w:p>
    <w:p>
      <w:r>
        <w:t>2. Booking channel: Corporate travel portal or direct hotel reservation. Third-party booking platforms (e.g., Expedia, Booking.com) are discouraged due to receipt complications;</w:t>
      </w:r>
    </w:p>
    <w:p>
      <w:r>
        <w:t>3. Room type: Standard single-occupancy room. Suites, executive floors, and club-level rooms require pre-approval;</w:t>
      </w:r>
    </w:p>
    <w:p>
      <w:r>
        <w:t>4. Extended stays: For assignments exceeding 14 consecutive nights, employees are encouraged to seek serviced apartments or extended-stay hotels with kitchen facilities to reduce costs.</w:t>
      </w:r>
    </w:p>
    <w:p>
      <w:pPr>
        <w:pStyle w:val="Heading1"/>
      </w:pPr>
      <w:r>
        <w:t>IV. Receipt and Documentation Requirements</w:t>
      </w:r>
    </w:p>
    <w:p>
      <w:r>
        <w:t>All accommodation expense claims must be supported by original hotel folios or invoices meeting the following criteria:</w:t>
      </w:r>
    </w:p>
    <w:p>
      <w:r>
        <w:t>1. The receipt must clearly show the hotel name, full address, and contact telephone number;</w:t>
      </w:r>
    </w:p>
    <w:p>
      <w:r>
        <w:t>2. The receipt must indicate the guest name, check-in date, check-out date, room number, and number of nights;</w:t>
      </w:r>
    </w:p>
    <w:p>
      <w:r>
        <w:t>3. The receipt must display an itemized breakdown of charges including room rate, taxes, and mandatory fees;</w:t>
      </w:r>
    </w:p>
    <w:p>
      <w:r>
        <w:t>4. The receipt must show the total amount due and the balance, with a guest signature confirming acceptance of charges;</w:t>
      </w:r>
    </w:p>
    <w:p>
      <w:r>
        <w:t>5. The receipt must be an original printed document issued by the hotel at check-out. Copies or scans may be retained as backups but shall not replace originals for reimbursement purposes.</w:t>
      </w:r>
    </w:p>
    <w:p>
      <w:pPr>
        <w:pStyle w:val="Heading1"/>
      </w:pPr>
      <w:r>
        <w:t>V. Claim Submission and Approval Process</w:t>
      </w:r>
    </w:p>
    <w:p>
      <w:r>
        <w:t>1. Submit the completed Expense Claim Form with all original receipts within ten business days of returning from the trip;</w:t>
      </w:r>
    </w:p>
    <w:p>
      <w:r>
        <w:t>2. The direct department head shall review and confirm that the accommodation dates align with the approved dispatch period and that the hotel location is reasonable relative to the work site;</w:t>
      </w:r>
    </w:p>
    <w:p>
      <w:r>
        <w:t>3. The Finance Department shall verify receipt authenticity, amount accuracy, tax compliance, and cap adherence;</w:t>
      </w:r>
    </w:p>
    <w:p>
      <w:r>
        <w:t>4. Approved claims shall be processed in the next monthly payment cycle.</w:t>
      </w:r>
    </w:p>
    <w:p>
      <w:pPr>
        <w:pStyle w:val="Heading1"/>
      </w:pPr>
      <w:r>
        <w:t>VI. Supporting Documents</w:t>
      </w:r>
    </w:p>
    <w:p>
      <w:r>
        <w:t>In addition to the original hotel receipt, the claimant must attach:</w:t>
      </w:r>
    </w:p>
    <w:p>
      <w:r>
        <w:t>1. The approved Business Trip Dispatch Notice or official field service authorization;</w:t>
      </w:r>
    </w:p>
    <w:p>
      <w:r>
        <w:t>2. The Assignment Schedule or work log confirming the accommodation dates fall within the on-site work period;</w:t>
      </w:r>
    </w:p>
    <w:p>
      <w:r>
        <w:t>3. The Reimbursement Standard Enterprise sheet for reference on applicable regional and job-level caps.</w:t>
      </w:r>
    </w:p>
    <w:p/>
    <w:p>
      <w:pPr>
        <w:jc w:val="right"/>
      </w:pPr>
      <w:r>
        <w:rPr>
          <w:i/>
        </w:rPr>
        <w:t>Global Innovation Technologies Inc.</w:t>
        <w:br/>
        <w:t>Finance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