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7046B">
      <w:pPr>
        <w:pStyle w:val="31"/>
        <w:jc w:val="center"/>
      </w:pPr>
      <w:r>
        <w:rPr>
          <w:b/>
          <w:sz w:val="32"/>
        </w:rPr>
        <w:t>Business Travel Accommodation Reimbursement Policy</w:t>
      </w:r>
    </w:p>
    <w:p w14:paraId="27CA35EC">
      <w:r>
        <w:rPr>
          <w:b/>
        </w:rPr>
        <w:t>Doc. No.: GIT-FIN-2023-025</w:t>
      </w:r>
      <w:r>
        <w:br w:type="textWrapping"/>
      </w:r>
      <w:r>
        <w:t>Ver.: V2.3</w:t>
      </w:r>
      <w:r>
        <w:br w:type="textWrapping"/>
      </w:r>
      <w:r>
        <w:t>Effective Date: July 1, 2023</w:t>
      </w:r>
    </w:p>
    <w:p w14:paraId="24533733"/>
    <w:p w14:paraId="2CD7A9DB">
      <w:r>
        <w:t>To standardize the reimbursement of accommodation expenses incurred during domestic and international business travel, to control lodging costs, and to ensure fair and transparent expense management, this policy is hereby established. This policy applies to all employees of Global Innovation Technologies Inc. who undertake business travel as part of their assigned duties.</w:t>
      </w:r>
    </w:p>
    <w:p w14:paraId="6C12C53E">
      <w:pPr>
        <w:pStyle w:val="3"/>
      </w:pPr>
      <w:r>
        <w:t>I. Scope of Reimbursable Accommodation</w:t>
      </w:r>
    </w:p>
    <w:p w14:paraId="47FEFCA0">
      <w:r>
        <w:t>Accommodation expenses eligible for reimbursement include the following categories:</w:t>
      </w:r>
    </w:p>
    <w:p w14:paraId="4A6785BE">
      <w:r>
        <w:t>1. Hotel room charges for standard single-occupancy rooms during approved business travel periods;</w:t>
      </w:r>
    </w:p>
    <w:p w14:paraId="6836F774">
      <w:r>
        <w:t>2. Applicable state and local occupancy taxes, city taxes, and tourism taxes directly levied on the room charge;</w:t>
      </w:r>
    </w:p>
    <w:p w14:paraId="4256B960">
      <w:r>
        <w:t>3. Mandatory resort fees when the hotel location imposes such fees on all guests (requires pre-approval if exceeding USD 25 per night);</w:t>
      </w:r>
    </w:p>
    <w:p w14:paraId="45668962">
      <w:r>
        <w:t>4. Reasonable internet access fees when required for remote work (up to USD 15 per night).</w:t>
      </w:r>
    </w:p>
    <w:p w14:paraId="790F4005"/>
    <w:p w14:paraId="494B4507">
      <w:r>
        <w:t>The following are excluded: room service, minibar, in-room movies, spa services, laundry, parking fees at the hotel, and personal incidental charges.</w:t>
      </w:r>
    </w:p>
    <w:p w14:paraId="081C99E1">
      <w:pPr>
        <w:pStyle w:val="3"/>
      </w:pPr>
      <w:r>
        <w:t>II. Accommodation Standards and Nightly Caps</w:t>
      </w:r>
    </w:p>
    <w:p w14:paraId="611DE3A1">
      <w:r>
        <w:t>Accommodation expenses are subject to the following nightly caps, inclusive of all applicable taxes:</w:t>
      </w:r>
    </w:p>
    <w:p w14:paraId="34292F4E">
      <w:r>
        <w:t>1. United States -- Tier-1 Cities (New York, San Francisco, Boston, Washington DC): USD 220.00 per night;</w:t>
      </w:r>
    </w:p>
    <w:p w14:paraId="17DB4016">
      <w:r>
        <w:t>2. United States -- Tier-2 Cities (Chicago, Los Angeles, Seattle, Miami, Charlotte, Atlanta, Denver, Austin, Portland): USD 150.00 per night;</w:t>
      </w:r>
    </w:p>
    <w:p w14:paraId="2810F7E1">
      <w:r>
        <w:t>3. United States -- Tier-3 Cities and all other domestic locations: USD 120.00 per night;</w:t>
      </w:r>
    </w:p>
    <w:p w14:paraId="0BEB67F8">
      <w:r>
        <w:t>4. Canada -- Major cities (Toronto, Vancouver, Calgary, Montreal, Ottawa): CAD 180.00 per night;</w:t>
      </w:r>
    </w:p>
    <w:p w14:paraId="329C00F6">
      <w:r>
        <w:t>5. Canada -- Secondary cities: CAD 140.00 per night;</w:t>
      </w:r>
    </w:p>
    <w:p w14:paraId="11873FA2">
      <w:r>
        <w:t>6. United Kingdom -- London: GBP 160.00 per night;</w:t>
      </w:r>
    </w:p>
    <w:p w14:paraId="35B8048D">
      <w:r>
        <w:t>7. United Kingdom -- Other cities: GBP 120.00 per night;</w:t>
      </w:r>
    </w:p>
    <w:p w14:paraId="009AC91F">
      <w:r>
        <w:t>8. European Union -- Major cities: EUR 160.00 per night;</w:t>
      </w:r>
    </w:p>
    <w:p w14:paraId="36C996E9">
      <w:r>
        <w:t>9. European Union -- Other cities: EUR 120.00 per night;</w:t>
      </w:r>
    </w:p>
    <w:p w14:paraId="4887F6A2">
      <w:r>
        <w:t>10. Asia-Pacific -- Major cities (Singapore, Hong Kong, Tokyo, Sydney): USD 200.00 per night;</w:t>
      </w:r>
    </w:p>
    <w:p w14:paraId="1171EA54">
      <w:r>
        <w:t>11. Asia-Pacific -- Other cities: USD 140.00 per night.</w:t>
      </w:r>
    </w:p>
    <w:p w14:paraId="152548E7"/>
    <w:p w14:paraId="3ADFEA04">
      <w:r>
        <w:t>If the nightly room rate exceeds the applicable cap, the employee shall bear the excess amount. In exceptional circumstances (e.g., major city-wide conferences, last-minute bookings due to urgent client issues), the employee may request pre-approval from the Regional Operations Director with written justification. Without pre-approval, only the capped amount is reimbursable.</w:t>
      </w:r>
    </w:p>
    <w:p w14:paraId="50732E6A">
      <w:pPr>
        <w:pStyle w:val="3"/>
      </w:pPr>
      <w:r>
        <w:t>III. Receipt and Documentation Requirements</w:t>
      </w:r>
    </w:p>
    <w:p w14:paraId="019CA14D">
      <w:r>
        <w:t>All accommodation claims must include the following original documents:</w:t>
      </w:r>
    </w:p>
    <w:p w14:paraId="71D7214D">
      <w:r>
        <w:t>1. The hotel folio or invoice showing the hotel name, address, guest name, room number, check-in and check-out dates, nightly rate breakdown, and total amount paid;</w:t>
      </w:r>
    </w:p>
    <w:p w14:paraId="26EBF69D">
      <w:r>
        <w:t>2. The payment receipt or credit card slip confirming the amount charged;</w:t>
      </w:r>
    </w:p>
    <w:p w14:paraId="2ED3E382">
      <w:r>
        <w:t>3. The original Dispatch Notice or Travel Authorization Form confirming the business purpose, travel dates, and destination city;</w:t>
      </w:r>
    </w:p>
    <w:p w14:paraId="115E2EDF">
      <w:r>
        <w:t>4. The Assignment Schedule or Travel Itinerary showing the alignment between hotel dates and business activities.</w:t>
      </w:r>
    </w:p>
    <w:p w14:paraId="0EC22E81">
      <w:pPr>
        <w:rPr>
          <w:rFonts w:hint="default" w:eastAsia="宋体"/>
          <w:lang w:val="en-US" w:eastAsia="zh-CN"/>
        </w:rPr>
      </w:pPr>
      <w:r>
        <w:rPr>
          <w:rFonts w:hint="eastAsia" w:eastAsia="宋体"/>
          <w:lang w:val="en-US" w:eastAsia="zh-CN"/>
        </w:rPr>
        <w:t>5.Must fully correspond to the business travel period</w:t>
      </w:r>
      <w:bookmarkStart w:id="0" w:name="_GoBack"/>
      <w:bookmarkEnd w:id="0"/>
    </w:p>
    <w:p w14:paraId="74132B96">
      <w:pPr>
        <w:pStyle w:val="3"/>
      </w:pPr>
      <w:r>
        <w:t>IV. Claim Submission and Approval Process</w:t>
      </w:r>
    </w:p>
    <w:p w14:paraId="296EEACF">
      <w:r>
        <w:t>1. Submit the completed Expense Claim Form with all supporting documents within 5 business days of return;</w:t>
      </w:r>
    </w:p>
    <w:p w14:paraId="0045654F">
      <w:r>
        <w:t>2. The direct supervisor shall verify the business purpose, travel dates, and hotel choice;</w:t>
      </w:r>
    </w:p>
    <w:p w14:paraId="33D890EC">
      <w:r>
        <w:t>3. The Finance Department shall verify receipt authenticity, nightly rate compliance with the policy cap, and tax breakdown accuracy;</w:t>
      </w:r>
    </w:p>
    <w:p w14:paraId="5EDFA6A8">
      <w:r>
        <w:t>4. Approved claims shall be processed in the next bi-weekly payment cycle.</w:t>
      </w:r>
    </w:p>
    <w:p w14:paraId="28702892">
      <w:pPr>
        <w:pStyle w:val="3"/>
      </w:pPr>
      <w:r>
        <w:t>V. Violation Handling</w:t>
      </w:r>
    </w:p>
    <w:p w14:paraId="1D80DCAA">
      <w:r>
        <w:t>1. If the accommodation expense exceeds the nightly cap without pre-approval, the excess amount shall be deducted from the reimbursement, and the employee shall bear the full excess;</w:t>
      </w:r>
    </w:p>
    <w:p w14:paraId="3F71477A">
      <w:r>
        <w:t>2. If fraudulent receipts or forged signatures are discovered, the claim shall be rejected in full and disciplinary action may be taken in accordance with company policy;</w:t>
      </w:r>
    </w:p>
    <w:p w14:paraId="4AB9F37C">
      <w:r>
        <w:t>3. Repeated violations of the accommodation cap without justification may result in mandatory pre-approval requirements for all future travel.</w:t>
      </w:r>
    </w:p>
    <w:p w14:paraId="6A93E960"/>
    <w:p w14:paraId="1C00A306">
      <w:pPr>
        <w:jc w:val="right"/>
      </w:pPr>
      <w:r>
        <w:rPr>
          <w:i/>
        </w:rPr>
        <w:t>Global Innovation Technologies Inc.</w:t>
      </w:r>
      <w:r>
        <w:rPr>
          <w:i/>
        </w:rPr>
        <w:br w:type="textWrapping"/>
      </w:r>
      <w:r>
        <w:rPr>
          <w:i/>
        </w:rPr>
        <w:t>Finance Department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B416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616</Words>
  <Characters>3596</Characters>
  <Lines>0</Lines>
  <Paragraphs>0</Paragraphs>
  <TotalTime>0</TotalTime>
  <ScaleCrop>false</ScaleCrop>
  <LinksUpToDate>false</LinksUpToDate>
  <CharactersWithSpaces>4169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张恩赐</cp:lastModifiedBy>
  <dcterms:modified xsi:type="dcterms:W3CDTF">2026-05-22T18:06:23Z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eyJoZGlkIjoiNjM2MDFmNDgxNzY5MjEzNDM4MzhiMzVhNzYwOTI1ODYiLCJ1c2VySWQiOiIxNjM5NDUwMjI1In0=</vt:lpwstr>
  </property>
  <property fmtid="{D5CDD505-2E9C-101B-9397-08002B2CF9AE}" pid="3" name="KSOProductBuildVer">
    <vt:lpwstr>2052-12.1.0.23542</vt:lpwstr>
  </property>
  <property fmtid="{D5CDD505-2E9C-101B-9397-08002B2CF9AE}" pid="4" name="ICV">
    <vt:lpwstr>3EABA59A051243D49DECB77278D0F832_12</vt:lpwstr>
  </property>
</Properties>
</file>