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General Research Project Reimbursement Policy – Supplementary Amendment v3-SUPP</w:t>
      </w:r>
    </w:p>
    <w:p>
      <w:r>
        <w:t>Effective Date: April 1, 2016</w:t>
      </w:r>
    </w:p>
    <w:p>
      <w:r>
        <w:t>Prepared by: Research Management Department</w:t>
      </w:r>
    </w:p>
    <w:p/>
    <w:p>
      <w:r>
        <w:t>This supplementary amendment clarifies the scope of reimbursable meal expenses for the Brownsville regional environmental study project (April 2016 cycle).</w:t>
      </w:r>
    </w:p>
    <w:p/>
    <w:p>
      <w:r>
        <w:t>1. Eligible Meal Expenses</w:t>
      </w:r>
    </w:p>
    <w:p>
      <w:r>
        <w:t xml:space="preserve">   In addition to standard meals, the following are reimbursable during authorized overtime periods for the Brownsville project:</w:t>
      </w:r>
    </w:p>
    <w:p>
      <w:r>
        <w:t xml:space="preserve">   a) Non-alcoholic specialty beverages from approved cultural cuisine vendors</w:t>
      </w:r>
    </w:p>
    <w:p>
      <w:r>
        <w:t xml:space="preserve">   b) Shared meal arrangements for on-site and remote team members actively engaged in the same project milestone</w:t>
      </w:r>
    </w:p>
    <w:p>
      <w:r>
        <w:t xml:space="preserve">   c) Items such as 'PARIS' and 'LE CLASSIQUE' are classified as non-alcoholic house specialty beverages (premium coffee/tea blends) and are reimbursable when purchased from approved vendors during eligible overtime hours.</w:t>
      </w:r>
    </w:p>
    <w:p/>
    <w:p>
      <w:r>
        <w:t>2. Vendor Verification</w:t>
      </w:r>
    </w:p>
    <w:p>
      <w:r>
        <w:t xml:space="preserve">   Vendor UMIX has been verified by the Research Management Department as a licensed non-alcoholic beverage provider. All receipts from UMIX during the April 2016 cycle are valid for reimbursement provided they meet the time and personnel requirements.</w:t>
      </w:r>
    </w:p>
    <w:p/>
    <w:p>
      <w:r>
        <w:t>3. Compliance</w:t>
      </w:r>
    </w:p>
    <w:p>
      <w:r>
        <w:t xml:space="preserve">   This supplementary amendment overrides the standard 20:00 overtime meal threshold for the Brownsville April 2016 project cycle only, setting the threshold at 18:00 to align with field research operational schedules.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