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Notice of 2025 Q3 APAC Team Building Activity</w:t>
      </w:r>
    </w:p>
    <w:p>
      <w:r>
        <w:rPr>
          <w:b/>
        </w:rPr>
        <w:t>Ref. No.: GIT-HR-2025-0801</w:t>
      </w:r>
      <w:r>
        <w:br/>
        <w:t>Date: July 25, 2025</w:t>
      </w:r>
      <w:r>
        <w:br/>
        <w:t>To: All APAC Region Product Team Members</w:t>
      </w:r>
    </w:p>
    <w:p/>
    <w:p>
      <w:r>
        <w:t>To strengthen cross-team collaboration, celebrate the successful launch of the Q2 product roadmap, and enhance team cohesion across the Asia-Pacific region, the Human Resources Department and the APAC Regional Office are pleased to announce the 2025 Q3 APAC Team Building Activity. Details are as follows:</w:t>
      </w:r>
    </w:p>
    <w:p>
      <w:pPr>
        <w:pStyle w:val="Heading1"/>
      </w:pPr>
      <w:r>
        <w:t>I. Event Overview</w:t>
      </w:r>
    </w:p>
    <w:p>
      <w:r>
        <w:t>Event Name: 2025 Q3 APAC Product Team Celebration Dinner</w:t>
      </w:r>
    </w:p>
    <w:p>
      <w:r>
        <w:t>Date: August 3, 2025 (Sunday)</w:t>
      </w:r>
    </w:p>
    <w:p>
      <w:r>
        <w:t>Time: 18:00 – 21:00</w:t>
      </w:r>
    </w:p>
    <w:p>
      <w:r>
        <w:t>Venue: buff Restaurant, 2/F, Lee Theatre Plaza, 99 Percival Street, Causeway Bay, Hong Kong</w:t>
      </w:r>
    </w:p>
    <w:p>
      <w:r>
        <w:t>Dress Code: Smart Casual</w:t>
      </w:r>
    </w:p>
    <w:p>
      <w:pPr>
        <w:pStyle w:val="Heading1"/>
      </w:pPr>
      <w:r>
        <w:t>II. Participants</w:t>
      </w:r>
    </w:p>
    <w:p>
      <w:r>
        <w:t>All members of the APAC Product Management Team who contributed to the Q2 roadmap delivery are invited. A formal participant list is attached as Appendix A.</w:t>
      </w:r>
    </w:p>
    <w:p>
      <w:r>
        <w:t>Expected attendance: 18 – 22 persons</w:t>
      </w:r>
    </w:p>
    <w:p>
      <w:pPr>
        <w:pStyle w:val="Heading1"/>
      </w:pPr>
      <w:r>
        <w:t>III. Event Schedule</w:t>
      </w:r>
    </w:p>
    <w:p>
      <w:r>
        <w:t>18:00 – 18:30  | Registration and welcome drinks</w:t>
      </w:r>
    </w:p>
    <w:p>
      <w:r>
        <w:t>18:30 – 19:00  | Opening remarks by Regional Director</w:t>
      </w:r>
    </w:p>
    <w:p>
      <w:r>
        <w:t>19:00 – 20:30  | Group dinner and team recognition awards</w:t>
      </w:r>
    </w:p>
    <w:p>
      <w:r>
        <w:t>20:30 – 21:00  | Closing remarks and group photo</w:t>
      </w:r>
    </w:p>
    <w:p>
      <w:pPr>
        <w:pStyle w:val="Heading1"/>
      </w:pPr>
      <w:r>
        <w:t>IV. Expense Arrangement</w:t>
      </w:r>
    </w:p>
    <w:p>
      <w:r>
        <w:t>The dinner portion of the event will follow a pre-authorized team dining budget. Team members who voluntarily extend the gathering with additional colleagues at the same venue may claim the incremental dining expense under the Team Building Dining Reimbursement Policy 2025, provided the following conditions are met:</w:t>
      </w:r>
    </w:p>
    <w:p>
      <w:r>
        <w:t>1. The meal must occur at the designated event venue on the event date;</w:t>
      </w:r>
    </w:p>
    <w:p>
      <w:r>
        <w:t>2. The number of additional attendees must not exceed four persons per primary participant;</w:t>
      </w:r>
    </w:p>
    <w:p>
      <w:r>
        <w:t>3. All receipts must be original, itemized, and paid by the claimant on-site;</w:t>
      </w:r>
    </w:p>
    <w:p>
      <w:r>
        <w:t>4. Claims must be submitted within five business days of the event date.</w:t>
      </w:r>
    </w:p>
    <w:p>
      <w:pPr>
        <w:pStyle w:val="Heading1"/>
      </w:pPr>
      <w:r>
        <w:t>V. Contact</w:t>
      </w:r>
    </w:p>
    <w:p>
      <w:r>
        <w:t>Event Coordinator: Sarah Tan, APAC HR Business Partner</w:t>
      </w:r>
    </w:p>
    <w:p>
      <w:r>
        <w:t>Email: sarah.tan@git-inc.com</w:t>
      </w:r>
    </w:p>
    <w:p>
      <w:r>
        <w:t>Phone: +852 2810-XXXX</w:t>
      </w:r>
    </w:p>
    <w:p/>
    <w:p>
      <w:pPr>
        <w:jc w:val="right"/>
      </w:pPr>
      <w:r>
        <w:rPr>
          <w:i/>
        </w:rPr>
        <w:t>Global Innovation Technologies Inc.</w:t>
        <w:br/>
        <w:t>Human Resources Department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