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6"/>
        </w:rPr>
        <w:t>NovaTech Solutions Inc.</w:t>
        <w:br/>
        <w:t>Transportation Expense Reimbursement Policy (2025 Edition)</w:t>
      </w:r>
    </w:p>
    <w:p/>
    <w:p>
      <w:pPr>
        <w:spacing w:line="360" w:lineRule="auto"/>
        <w:ind w:firstLine="420"/>
      </w:pPr>
      <w:r>
        <w:rPr>
          <w:rFonts w:ascii="Arial" w:hAnsi="Arial" w:eastAsia="Arial"/>
          <w:b w:val="0"/>
          <w:sz w:val="24"/>
        </w:rPr>
        <w:t xml:space="preserve">    In order to standardize the reimbursement management of transportation expenses incurred by employees for business purposes, ensure that travel expenditures are authentic, compliant, and traceable, this policy is formulated in accordance with relevant provisions of the United States Internal Revenue Code concerning travel deductions, as well as the company's financial governance standards, taking into account the Company's global operations. This policy applies to all regular employees, project contractors, and authorized temporary staff of NovaTech Solutions Inc., covering all scenarios involving transportation expenses, including business travel, team building, client hospitality, and conference exhibitions.</w:t>
      </w:r>
    </w:p>
    <w:p>
      <w:pPr>
        <w:spacing w:line="360" w:lineRule="auto"/>
        <w:ind w:firstLine="420"/>
      </w:pPr>
      <w:r>
        <w:rPr>
          <w:rFonts w:ascii="Arial" w:hAnsi="Arial" w:eastAsia="Arial"/>
          <w:b/>
          <w:sz w:val="28"/>
        </w:rPr>
        <w:t>Chapter I  Definition of Reimbursable Expenses</w:t>
      </w:r>
    </w:p>
    <w:p>
      <w:pPr>
        <w:spacing w:line="360" w:lineRule="auto"/>
        <w:ind w:firstLine="420"/>
      </w:pPr>
      <w:r>
        <w:rPr>
          <w:rFonts w:ascii="Arial" w:hAnsi="Arial" w:eastAsia="Arial"/>
          <w:b w:val="0"/>
          <w:sz w:val="24"/>
        </w:rPr>
        <w:t xml:space="preserve">    Transportation-related reimbursable expenses refer to all expenditures incurred by employees in the performance of their work duties, execution of company-approved projects or events, for the purpose of transporting personnel or goods from one location to another. Specifically, these include but are not limited to the following components:</w:t>
      </w:r>
    </w:p>
    <w:p>
      <w:pPr>
        <w:spacing w:line="360" w:lineRule="auto"/>
        <w:ind w:firstLine="420"/>
      </w:pPr>
      <w:r>
        <w:rPr>
          <w:rFonts w:ascii="Arial" w:hAnsi="Arial" w:eastAsia="Arial"/>
          <w:b w:val="0"/>
          <w:sz w:val="24"/>
        </w:rPr>
        <w:t xml:space="preserve">    (1) Vehicle Rental Fees: Rent charges for passenger cars, business vehicles, or coaches used for employee commuting or goods transport, including base rent, weekly/monthly discounts, and vehicle depreciation allocation;</w:t>
      </w:r>
    </w:p>
    <w:p>
      <w:pPr>
        <w:spacing w:line="360" w:lineRule="auto"/>
        <w:ind w:firstLine="420"/>
      </w:pPr>
      <w:r>
        <w:rPr>
          <w:rFonts w:ascii="Arial" w:hAnsi="Arial" w:eastAsia="Arial"/>
          <w:b w:val="0"/>
          <w:sz w:val="24"/>
        </w:rPr>
        <w:t xml:space="preserve">    (2) Fuel Charges: Energy costs for gasoline, diesel, or electric charging incurred during the rental period or private vehicle use for business purposes;</w:t>
      </w:r>
    </w:p>
    <w:p>
      <w:pPr>
        <w:spacing w:line="360" w:lineRule="auto"/>
        <w:ind w:firstLine="420"/>
      </w:pPr>
      <w:r>
        <w:rPr>
          <w:rFonts w:ascii="Arial" w:hAnsi="Arial" w:eastAsia="Arial"/>
          <w:b w:val="0"/>
          <w:sz w:val="24"/>
        </w:rPr>
        <w:t xml:space="preserve">    (3) Toll and Road Fees: Charges for driving on highways, bridges, tunnels, or other tolled road segments, as well as top-up fees for electronic toll collection accounts (ETC / Toll Tag);</w:t>
      </w:r>
    </w:p>
    <w:p>
      <w:pPr>
        <w:spacing w:line="360" w:lineRule="auto"/>
        <w:ind w:firstLine="420"/>
      </w:pPr>
      <w:r>
        <w:rPr>
          <w:rFonts w:ascii="Arial" w:hAnsi="Arial" w:eastAsia="Arial"/>
          <w:b w:val="0"/>
          <w:sz w:val="24"/>
        </w:rPr>
        <w:t xml:space="preserve">    (4) Parking Fees: Charges incurred at commercial parking lots or metered street parking at airports, hotels, conference venues, or office buildings;</w:t>
      </w:r>
    </w:p>
    <w:p>
      <w:pPr>
        <w:spacing w:line="360" w:lineRule="auto"/>
        <w:ind w:firstLine="420"/>
      </w:pPr>
      <w:r>
        <w:rPr>
          <w:rFonts w:ascii="Arial" w:hAnsi="Arial" w:eastAsia="Arial"/>
          <w:b w:val="0"/>
          <w:sz w:val="24"/>
        </w:rPr>
        <w:t xml:space="preserve">    (5) Driver Service Fees: Labor costs for hiring full-time drivers or chauffeur services, as well as accommodation and meal allowances for drivers on long-distance cross-city assignments;</w:t>
      </w:r>
    </w:p>
    <w:p>
      <w:pPr>
        <w:spacing w:line="360" w:lineRule="auto"/>
        <w:ind w:firstLine="420"/>
      </w:pPr>
      <w:r>
        <w:rPr>
          <w:rFonts w:ascii="Arial" w:hAnsi="Arial" w:eastAsia="Arial"/>
          <w:b w:val="0"/>
          <w:sz w:val="24"/>
        </w:rPr>
        <w:t xml:space="preserve">    (6) Vehicle Insurance and Add-On Services: Value-added services purchased during the rental period, such as Collision Damage Waiver (CDW), roadside assistance, satellite navigation, and child safety seats.</w:t>
      </w:r>
    </w:p>
    <w:p>
      <w:pPr>
        <w:spacing w:line="360" w:lineRule="auto"/>
        <w:ind w:firstLine="420"/>
      </w:pPr>
      <w:r>
        <w:rPr>
          <w:rFonts w:ascii="Arial" w:hAnsi="Arial" w:eastAsia="Arial"/>
          <w:b w:val="0"/>
          <w:sz w:val="24"/>
        </w:rPr>
        <w:t xml:space="preserve">    Special Note: All the above-mentioned expense items shall be regarded as the overall expenditure of the transportation transaction. When submitting reimbursement, they must be consolidated into a single transportation expense application and shall not be artificially split to circumvent the approval process.</w:t>
      </w:r>
    </w:p>
    <w:p>
      <w:pPr>
        <w:spacing w:line="360" w:lineRule="auto"/>
        <w:ind w:firstLine="420"/>
      </w:pPr>
      <w:r>
        <w:rPr>
          <w:rFonts w:ascii="Arial" w:hAnsi="Arial" w:eastAsia="Arial"/>
          <w:b/>
          <w:sz w:val="28"/>
        </w:rPr>
        <w:t>Chapter II  Reimbursement Workflow</w:t>
      </w:r>
    </w:p>
    <w:p>
      <w:pPr>
        <w:spacing w:line="360" w:lineRule="auto"/>
        <w:ind w:firstLine="420"/>
      </w:pPr>
      <w:r>
        <w:rPr>
          <w:rFonts w:ascii="Arial" w:hAnsi="Arial" w:eastAsia="Arial"/>
          <w:b w:val="0"/>
          <w:sz w:val="24"/>
        </w:rPr>
        <w:t xml:space="preserve">    The Company implements a "Four-Level Review, Closed-Loop Management" mechanism for transportation expense reimbursement. The specific workflow is as follows:</w:t>
      </w:r>
    </w:p>
    <w:p>
      <w:pPr>
        <w:spacing w:line="360" w:lineRule="auto"/>
        <w:ind w:firstLine="420"/>
      </w:pPr>
      <w:r>
        <w:rPr>
          <w:rFonts w:ascii="Arial" w:hAnsi="Arial" w:eastAsia="Arial"/>
          <w:b w:val="0"/>
          <w:sz w:val="24"/>
        </w:rPr>
        <w:t xml:space="preserve">    (1) Submission of Reimbursement Materials: The claimant must submit the reimbursement application through the company financial system (Workday Expense) within thirty calendar days after the expense occurs, and upload the following materials: (i) original vehicle rental contract or rental settlement statement (Rental Agreement / Charge Detail); (ii) approved travel request form or event budget sheet; (iii) vehicle handover confirmation form (including odometer readings and fuel levels at pickup and return); (iv) for interstate or international driving, toll bills and fuel receipts must be attached.</w:t>
      </w:r>
    </w:p>
    <w:p>
      <w:pPr>
        <w:spacing w:line="360" w:lineRule="auto"/>
        <w:ind w:firstLine="420"/>
      </w:pPr>
      <w:r>
        <w:rPr>
          <w:rFonts w:ascii="Arial" w:hAnsi="Arial" w:eastAsia="Arial"/>
          <w:b w:val="0"/>
          <w:sz w:val="24"/>
        </w:rPr>
        <w:t xml:space="preserve">    (2) Department Head Review: The department head of the claimant (Director level or above) must complete the initial review within five working days, focusing on verifying whether the travel purpose is consistent with the department's work plan, whether the invoice information matches the itinerary, and whether the leased vehicle specifications (seat count and model) match those approved in the original application.</w:t>
      </w:r>
    </w:p>
    <w:p>
      <w:pPr>
        <w:spacing w:line="360" w:lineRule="auto"/>
        <w:ind w:firstLine="420"/>
      </w:pPr>
      <w:r>
        <w:rPr>
          <w:rFonts w:ascii="Arial" w:hAnsi="Arial" w:eastAsia="Arial"/>
          <w:b w:val="0"/>
          <w:sz w:val="24"/>
        </w:rPr>
        <w:t xml:space="preserve">    (3) Finance Department Review: The Company's Financial Shared Service Center (SSC) must complete the review within seven working days after receiving the initially approved application, focusing on invoice authenticity, tax compliance, exchange rate conversion accuracy, and consistency between the payment account and the rental company's contractual account.</w:t>
      </w:r>
    </w:p>
    <w:p>
      <w:pPr>
        <w:spacing w:line="360" w:lineRule="auto"/>
        <w:ind w:firstLine="420"/>
      </w:pPr>
      <w:r>
        <w:rPr>
          <w:rFonts w:ascii="Arial" w:hAnsi="Arial" w:eastAsia="Arial"/>
          <w:b w:val="0"/>
          <w:sz w:val="24"/>
        </w:rPr>
        <w:t xml:space="preserve">    (4) Reimbursement Disbursement: Upon approval by Finance, the reimbursement amount will be transferred to the claimant's designated salary-linked bank account on the next centralized payment date (the 5th, 15th, or 25th of each month). For rental company payments, funds will be transferred directly to the supplier's bank account as stipulated in the contract.</w:t>
      </w:r>
    </w:p>
    <w:p>
      <w:pPr>
        <w:spacing w:line="360" w:lineRule="auto"/>
        <w:ind w:firstLine="420"/>
      </w:pPr>
      <w:r>
        <w:rPr>
          <w:rFonts w:ascii="Arial" w:hAnsi="Arial" w:eastAsia="Arial"/>
          <w:b/>
          <w:sz w:val="28"/>
        </w:rPr>
        <w:t>Chapter III  Invoice Information Requirements</w:t>
      </w:r>
    </w:p>
    <w:p>
      <w:pPr>
        <w:spacing w:line="360" w:lineRule="auto"/>
        <w:ind w:firstLine="420"/>
      </w:pPr>
      <w:r>
        <w:rPr>
          <w:rFonts w:ascii="Arial" w:hAnsi="Arial" w:eastAsia="Arial"/>
          <w:b w:val="0"/>
          <w:sz w:val="24"/>
        </w:rPr>
        <w:t xml:space="preserve">    All reimbursement applications must be accompanied by legal and valid original invoices. The invoice must clearly state the following core information: transaction date, city of transaction (city-level precision is sufficient), supplier name and tax identification number, detailed description of services (e.g., rental period, vehicle model, mileage), quantity, unit price, currency, and total amount. The date information on the invoice is used to confirm the expense attribution period, and the city information is used to verify whether the business location is consistent with the travel request or event plan.</w:t>
      </w:r>
    </w:p>
    <w:p>
      <w:pPr>
        <w:spacing w:line="360" w:lineRule="auto"/>
        <w:ind w:firstLine="420"/>
      </w:pPr>
      <w:r>
        <w:rPr>
          <w:rFonts w:ascii="Arial" w:hAnsi="Arial" w:eastAsia="Arial"/>
          <w:b w:val="0"/>
          <w:sz w:val="24"/>
        </w:rPr>
        <w:t xml:space="preserve">    In addition to the above core information, detailed information such as the supplier's specific branch address, vehicle identification number (VIN), driver name, and detailed insurance clauses shall be based solely on the content of the invoice itself and shall not be repeated in background documents, so as to ensure the independence and irreplaceability of the invoice as the sole original voucher.</w:t>
      </w:r>
    </w:p>
    <w:p>
      <w:pPr>
        <w:spacing w:line="360" w:lineRule="auto"/>
        <w:ind w:firstLine="420"/>
      </w:pPr>
      <w:r>
        <w:rPr>
          <w:rFonts w:ascii="Arial" w:hAnsi="Arial" w:eastAsia="Arial"/>
          <w:b/>
          <w:sz w:val="28"/>
        </w:rPr>
        <w:t>Chapter IV  Multi-Person Reimbursement Requirements</w:t>
      </w:r>
    </w:p>
    <w:p>
      <w:pPr>
        <w:spacing w:line="360" w:lineRule="auto"/>
        <w:ind w:firstLine="420"/>
      </w:pPr>
      <w:r>
        <w:rPr>
          <w:rFonts w:ascii="Arial" w:hAnsi="Arial" w:eastAsia="Arial"/>
          <w:b w:val="0"/>
          <w:sz w:val="24"/>
        </w:rPr>
        <w:t xml:space="preserve">    Where a transportation trip involves two or more employees traveling together or jointly benefiting, the reimbursement handling rules are as follows:</w:t>
      </w:r>
    </w:p>
    <w:p>
      <w:pPr>
        <w:spacing w:line="360" w:lineRule="auto"/>
        <w:ind w:firstLine="420"/>
      </w:pPr>
      <w:r>
        <w:rPr>
          <w:rFonts w:ascii="Arial" w:hAnsi="Arial" w:eastAsia="Arial"/>
          <w:b w:val="0"/>
          <w:sz w:val="24"/>
        </w:rPr>
        <w:t xml:space="preserve">    (1) Unified Vehicle Rental: Where a department-designated lead rents vehicles from a rental company under a unified contract with the invoice issued in the company name, the lead may submit the reimbursement application on behalf of the group, with the remaining passengers marked as "joint beneficiaries" in the system; the reimbursement amount shall be recorded in a single entry based on the actual invoice amount;</w:t>
      </w:r>
    </w:p>
    <w:p>
      <w:pPr>
        <w:spacing w:line="360" w:lineRule="auto"/>
        <w:ind w:firstLine="420"/>
      </w:pPr>
      <w:r>
        <w:rPr>
          <w:rFonts w:ascii="Arial" w:hAnsi="Arial" w:eastAsia="Arial"/>
          <w:b w:val="0"/>
          <w:sz w:val="24"/>
        </w:rPr>
        <w:t xml:space="preserve">    (2) Expense Split: Where the invoice is issued in an individual's name and the vehicle is shared by multiple persons, the reimbursement amount may be apportioned according to the actual per-capita mileage or days of use; however, the aggregate amount of all split applications must not exceed the original invoice total;</w:t>
      </w:r>
    </w:p>
    <w:p>
      <w:pPr>
        <w:spacing w:line="360" w:lineRule="auto"/>
        <w:ind w:firstLine="420"/>
      </w:pPr>
      <w:r>
        <w:rPr>
          <w:rFonts w:ascii="Arial" w:hAnsi="Arial" w:eastAsia="Arial"/>
          <w:b w:val="0"/>
          <w:sz w:val="24"/>
        </w:rPr>
        <w:t xml:space="preserve">    (3) Team Activity Transportation: For bulk vehicle rentals in the context of departmental team building, annual meetings, or client events, the event liaison shall submit the reimbursement on a unified basis; the reimbursement amount may be aggregated, provided that an approved activity plan and participant list are attached.</w:t>
      </w:r>
    </w:p>
    <w:p>
      <w:pPr>
        <w:spacing w:line="360" w:lineRule="auto"/>
        <w:ind w:firstLine="420"/>
      </w:pPr>
      <w:r>
        <w:rPr>
          <w:rFonts w:ascii="Arial" w:hAnsi="Arial" w:eastAsia="Arial"/>
          <w:b/>
          <w:sz w:val="28"/>
        </w:rPr>
        <w:t>Chapter V  Authenticity Supporting Documents</w:t>
      </w:r>
    </w:p>
    <w:p>
      <w:pPr>
        <w:spacing w:line="360" w:lineRule="auto"/>
        <w:ind w:firstLine="420"/>
      </w:pPr>
      <w:r>
        <w:rPr>
          <w:rFonts w:ascii="Arial" w:hAnsi="Arial" w:eastAsia="Arial"/>
          <w:b w:val="0"/>
          <w:sz w:val="24"/>
        </w:rPr>
        <w:t xml:space="preserve">    The claimant must provide authenticity supporting documents directly related to the transportation transaction to form a complete chain of evidence. Such materials typically include but are not limited to: travel approval forms, event notices, meeting invitations, vehicle rental contract excerpts, daily driving logs, GPS trajectory screenshots, and participant sign-in sheets. The above materials may include the time period and city of the trip, but shall not contain detailed information such as the rental company's specific branch address or hotel brand names, which shall be provided by the invoice itself.</w:t>
      </w:r>
    </w:p>
    <w:p>
      <w:pPr>
        <w:spacing w:line="360" w:lineRule="auto"/>
        <w:ind w:firstLine="420"/>
      </w:pPr>
      <w:r>
        <w:rPr>
          <w:rFonts w:ascii="Arial" w:hAnsi="Arial" w:eastAsia="Arial"/>
          <w:b/>
          <w:sz w:val="28"/>
        </w:rPr>
        <w:t>Chapter VI  Acceptable Invoice Types</w:t>
      </w:r>
    </w:p>
    <w:p>
      <w:pPr>
        <w:spacing w:line="360" w:lineRule="auto"/>
        <w:ind w:firstLine="420"/>
      </w:pPr>
      <w:r>
        <w:rPr>
          <w:rFonts w:ascii="Arial" w:hAnsi="Arial" w:eastAsia="Arial"/>
          <w:b w:val="0"/>
          <w:sz w:val="24"/>
        </w:rPr>
        <w:t xml:space="preserve">    The Company only accepts invoices meeting the following conditions as reimbursement vouchers:</w:t>
      </w:r>
    </w:p>
    <w:p>
      <w:pPr>
        <w:spacing w:line="360" w:lineRule="auto"/>
        <w:ind w:firstLine="420"/>
      </w:pPr>
      <w:r>
        <w:rPr>
          <w:rFonts w:ascii="Arial" w:hAnsi="Arial" w:eastAsia="Arial"/>
          <w:b w:val="0"/>
          <w:sz w:val="24"/>
        </w:rPr>
        <w:t xml:space="preserve">    (1) Machine-Printed Invoices: Automatically generated settlement statements (Charge Detail / Rental Invoice) from the rental company's system, which must bear a continuous serial number, rental agreement number, and reservation confirmation ID;</w:t>
      </w:r>
    </w:p>
    <w:p>
      <w:pPr>
        <w:spacing w:line="360" w:lineRule="auto"/>
        <w:ind w:firstLine="420"/>
      </w:pPr>
      <w:r>
        <w:rPr>
          <w:rFonts w:ascii="Arial" w:hAnsi="Arial" w:eastAsia="Arial"/>
          <w:b w:val="0"/>
          <w:sz w:val="24"/>
        </w:rPr>
        <w:t xml:space="preserve">    (2) Electronic Invoices: Electronic-format invoices (PDF) compliant with U.S. state and federal tax regulations, which must contain the supplier's Employer Identification Number (EIN) or state sales tax permit number;</w:t>
      </w:r>
    </w:p>
    <w:p>
      <w:pPr>
        <w:spacing w:line="360" w:lineRule="auto"/>
        <w:ind w:firstLine="420"/>
      </w:pPr>
      <w:r>
        <w:rPr>
          <w:rFonts w:ascii="Arial" w:hAnsi="Arial" w:eastAsia="Arial"/>
          <w:b w:val="0"/>
          <w:sz w:val="24"/>
        </w:rPr>
        <w:t xml:space="preserve">    (3) Credit Card Statements: Credit card authorization records (CC Auth) consistent with the rental settlement amount may serve as auxiliary verification evidence, but shall not be used as the sole reimbursement basis;</w:t>
      </w:r>
    </w:p>
    <w:p>
      <w:pPr>
        <w:spacing w:line="360" w:lineRule="auto"/>
        <w:ind w:firstLine="420"/>
      </w:pPr>
      <w:r>
        <w:rPr>
          <w:rFonts w:ascii="Arial" w:hAnsi="Arial" w:eastAsia="Arial"/>
          <w:b w:val="0"/>
          <w:sz w:val="24"/>
        </w:rPr>
        <w:t xml:space="preserve">    (4) Handwritten Receipts Not Accepted: Any handwritten receipts filled out manually by suppliers without system records or anti-counterfeiting identifiers are deemed invalid vouchers, and the Finance Department reserves the right to reject them outright;</w:t>
      </w:r>
    </w:p>
    <w:p>
      <w:pPr>
        <w:spacing w:line="360" w:lineRule="auto"/>
        <w:ind w:firstLine="420"/>
      </w:pPr>
      <w:r>
        <w:rPr>
          <w:rFonts w:ascii="Arial" w:hAnsi="Arial" w:eastAsia="Arial"/>
          <w:b w:val="0"/>
          <w:sz w:val="24"/>
        </w:rPr>
        <w:t xml:space="preserve">    (5) Invoice Language: Invoices issued by foreign suppliers in foreign languages may be accepted normally; the claimant shall annotate the Chinese meaning of key fields (e.g., invoice type, general service category) in the system, but shall not alter the original content of the invoice.</w:t>
      </w:r>
    </w:p>
    <w:p>
      <w:pPr>
        <w:spacing w:line="360" w:lineRule="auto"/>
        <w:ind w:firstLine="420"/>
      </w:pPr>
      <w:r>
        <w:rPr>
          <w:rFonts w:ascii="Arial" w:hAnsi="Arial" w:eastAsia="Arial"/>
          <w:b/>
          <w:sz w:val="28"/>
        </w:rPr>
        <w:t>Supplementary Provisions</w:t>
      </w:r>
    </w:p>
    <w:p>
      <w:pPr>
        <w:spacing w:line="360" w:lineRule="auto"/>
        <w:ind w:firstLine="420"/>
      </w:pPr>
      <w:r>
        <w:rPr>
          <w:rFonts w:ascii="Arial" w:hAnsi="Arial" w:eastAsia="Arial"/>
          <w:b w:val="0"/>
          <w:sz w:val="24"/>
        </w:rPr>
        <w:t xml:space="preserve">    This policy shall take effect on January 1, 2025, and is interpreted by the Finance Department of NovaTech Solutions Inc. In the event of any conflict with U.S. federal or state laws and regulations, the local laws and regulations shall prevail.</w:t>
      </w:r>
    </w:p>
    <w:p/>
    <w:p/>
    <w:p>
      <w:pPr>
        <w:jc w:val="right"/>
      </w:pPr>
      <w:r>
        <w:rPr>
          <w:rFonts w:ascii="Arial" w:hAnsi="Arial" w:eastAsia="Arial"/>
          <w:b w:val="0"/>
          <w:sz w:val="24"/>
        </w:rPr>
        <w:t>NovaTech Solutions Inc.</w:t>
        <w:br/>
        <w:t>Finance &amp; Compliance Department</w:t>
        <w:br/>
        <w:t>January 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