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Travel and Business Expense Reimbursement Policy</w:t>
      </w:r>
    </w:p>
    <w:p>
      <w:pPr>
        <w:pStyle w:val="Heading1"/>
      </w:pPr>
      <w:r>
        <w:t>Chapter I General Provisions</w:t>
      </w:r>
    </w:p>
    <w:p>
      <w:r>
        <w:t>Article 1 This Policy is formulated to standardize the reimbursement management of transportation and accommodation expenses incurred by employees for business travel, supplier audits, and project dispatch, ensuring that all expenses are authentic, compliant, and traceable.</w:t>
      </w:r>
    </w:p>
    <w:p>
      <w:r>
        <w:t>Article 2 This Policy applies to all departments and overseas branches of the Company for transportation and accommodation expenses arising from business trips, supplier audits, training, conferences, and approved project dispatch assignments.</w:t>
      </w:r>
    </w:p>
    <w:p>
      <w:pPr>
        <w:pStyle w:val="Heading1"/>
      </w:pPr>
      <w:r>
        <w:t>Chapter II Definition of Reimbursable Expenses</w:t>
      </w:r>
    </w:p>
    <w:p>
      <w:r>
        <w:t>Article 3 For the purposes of this Policy, reimbursable expenses include, but are not limited to, the following categories:</w:t>
      </w:r>
    </w:p>
    <w:p>
      <w:pPr>
        <w:pStyle w:val="ListNumber"/>
      </w:pPr>
      <w:r>
        <w:t>1. Airfare and rail tickets: the ticket price and related taxes paid for civil aviation flights or trains for business travel or project dispatch;</w:t>
      </w:r>
    </w:p>
    <w:p>
      <w:pPr>
        <w:pStyle w:val="ListNumber"/>
      </w:pPr>
      <w:r>
        <w:t>2. Airport fees and taxes: government charges and airline surcharges collected concurrently with ticket purchase;</w:t>
      </w:r>
    </w:p>
    <w:p>
      <w:pPr>
        <w:pStyle w:val="ListNumber"/>
      </w:pPr>
      <w:r>
        <w:t>3. Ground transfer fees: taxi, ride-hailing, or public transportation costs incurred for travel between residence and airports, terminals, or other transportation hubs;</w:t>
      </w:r>
    </w:p>
    <w:p>
      <w:pPr>
        <w:pStyle w:val="ListNumber"/>
      </w:pPr>
      <w:r>
        <w:t>4. Accommodation expenses: hotel room charges and applicable taxes incurred during approved business travel or project dispatch, within the prescribed standards;</w:t>
      </w:r>
    </w:p>
    <w:p>
      <w:pPr>
        <w:pStyle w:val="ListNumber"/>
      </w:pPr>
      <w:r>
        <w:t>5. Rescheduling and cancellation fees: handling charges arising from ticket changes or cancellations due to work arrangement adjustments.</w:t>
      </w:r>
    </w:p>
    <w:p>
      <w:r>
        <w:t>All of the above expenses shall be aggregated into the total business expense for the current trip and submitted for reimbursement together.</w:t>
      </w:r>
    </w:p>
    <w:p>
      <w:pPr>
        <w:pStyle w:val="Heading1"/>
      </w:pPr>
      <w:r>
        <w:t>Chapter III Reimbursement Workflow</w:t>
      </w:r>
    </w:p>
    <w:p>
      <w:r>
        <w:t>Article 4 The Company's expense reimbursement workflow is as follows:</w:t>
      </w:r>
    </w:p>
    <w:p>
      <w:pPr>
        <w:pStyle w:val="ListNumber"/>
      </w:pPr>
      <w:r>
        <w:t>1. Submission of reimbursement materials: the trip or project lead collates the travel approval form, expense receipts, project dispatch notice, and submits them to the department head;</w:t>
      </w:r>
    </w:p>
    <w:p>
      <w:pPr>
        <w:pStyle w:val="ListNumber"/>
      </w:pPr>
      <w:r>
        <w:t>2. Department head review: verify the consistency between the travel purpose and business needs, the completeness of documentation, and the authenticity of the transaction;</w:t>
      </w:r>
    </w:p>
    <w:p>
      <w:pPr>
        <w:pStyle w:val="ListNumber"/>
      </w:pPr>
      <w:r>
        <w:t>3. Finance department review: finance personnel review invoice compliance and the completeness of the approval workflow;</w:t>
      </w:r>
    </w:p>
    <w:p>
      <w:pPr>
        <w:pStyle w:val="ListNumber"/>
      </w:pPr>
      <w:r>
        <w:t>4. Reimbursement payment: upon successful review, the finance department completes payment within the agreed cycle.</w:t>
      </w:r>
    </w:p>
    <w:p>
      <w:pPr>
        <w:pStyle w:val="Heading1"/>
      </w:pPr>
      <w:r>
        <w:t>Chapter IV Invoice Requirements</w:t>
      </w:r>
    </w:p>
    <w:p>
      <w:r>
        <w:t>Article 5 Receipts attached for reimbursement must be genuine, lawful, and valid. Background documents shall only extract the date and city-level location information shown on the receipt, to verify consistency with the assignment schedule and location.</w:t>
      </w:r>
    </w:p>
    <w:p>
      <w:r>
        <w:t>Article 6 Detailed hotel names, room types, and nightly rates shown on the receipt shall be represented solely by the receipt itself and shall not be restated or substituted in background documents.</w:t>
      </w:r>
    </w:p>
    <w:p>
      <w:pPr>
        <w:pStyle w:val="Heading1"/>
      </w:pPr>
      <w:r>
        <w:t>Chapter V Multiple-Person Reimbursement</w:t>
      </w:r>
    </w:p>
    <w:p>
      <w:r>
        <w:t>Article 7 Where multiple persons have respectively incurred expenses for the same business trip or project dispatch, their reimbursement amounts may generally be aggregated, provided that individual payment proofs and an expense allocation statement are attached.</w:t>
      </w:r>
    </w:p>
    <w:p>
      <w:r>
        <w:t>Article 8 For group expenses uniformly booked and prepaid by the Admin Department or a designated person, the prepayer may claim reimbursement on behalf of the group, attaching the participant list and expense breakdown.</w:t>
      </w:r>
    </w:p>
    <w:p>
      <w:pPr>
        <w:pStyle w:val="Heading1"/>
      </w:pPr>
      <w:r>
        <w:t>Chapter VI Authenticity Supporting Documents</w:t>
      </w:r>
    </w:p>
    <w:p>
      <w:r>
        <w:t>Article 9 Authenticity supporting documents for expense reimbursement shall be consistent with background materials, including but not limited to:</w:t>
      </w:r>
    </w:p>
    <w:p>
      <w:pPr>
        <w:pStyle w:val="ListNumber"/>
      </w:pPr>
      <w:r>
        <w:t>1. Travel application and approval documents;</w:t>
      </w:r>
    </w:p>
    <w:p>
      <w:pPr>
        <w:pStyle w:val="ListNumber"/>
      </w:pPr>
      <w:r>
        <w:t>2. Project dispatch notice or audit plan;</w:t>
      </w:r>
    </w:p>
    <w:p>
      <w:pPr>
        <w:pStyle w:val="ListNumber"/>
      </w:pPr>
      <w:r>
        <w:t>3. Meeting invitation or training notice;</w:t>
      </w:r>
    </w:p>
    <w:p>
      <w:pPr>
        <w:pStyle w:val="ListNumber"/>
      </w:pPr>
      <w:r>
        <w:t>4. Itinerary, assignment schedule, and participant list.</w:t>
      </w:r>
    </w:p>
    <w:p>
      <w:r>
        <w:t>The above documents have been included as background files and require no additional supplementation.</w:t>
      </w:r>
    </w:p>
    <w:p>
      <w:pPr>
        <w:pStyle w:val="Heading1"/>
      </w:pPr>
      <w:r>
        <w:t>Chapter VII Acceptable Receipt Types</w:t>
      </w:r>
    </w:p>
    <w:p>
      <w:r>
        <w:t>Article 10 The Company accepts the following types of reimbursable receipts:</w:t>
      </w:r>
    </w:p>
    <w:p>
      <w:pPr>
        <w:pStyle w:val="ListNumber"/>
      </w:pPr>
      <w:r>
        <w:t>1. Electronic ticket itinerary or flight booking confirmation issued by airlines;</w:t>
      </w:r>
    </w:p>
    <w:p>
      <w:pPr>
        <w:pStyle w:val="ListNumber"/>
      </w:pPr>
      <w:r>
        <w:t>2. Tax invoices or official receipts compliant with local tax regulations;</w:t>
      </w:r>
    </w:p>
    <w:p>
      <w:pPr>
        <w:pStyle w:val="ListNumber"/>
      </w:pPr>
      <w:r>
        <w:t>3. Formal transaction vouchers issued by approved electronic payment platforms;</w:t>
      </w:r>
    </w:p>
    <w:p>
      <w:pPr>
        <w:pStyle w:val="ListNumber"/>
      </w:pPr>
      <w:r>
        <w:t>4. Regular agency receipts issued by travel agencies or ticket agents;</w:t>
      </w:r>
    </w:p>
    <w:p>
      <w:pPr>
        <w:pStyle w:val="ListNumber"/>
      </w:pPr>
      <w:r>
        <w:t>5. Hotel folios and itemized bills issued by recognized lodging establishments.</w:t>
      </w:r>
    </w:p>
    <w:p>
      <w:r>
        <w:t>Article 11 The following receipts shall not be reimbursed:</w:t>
      </w:r>
    </w:p>
    <w:p>
      <w:pPr>
        <w:pStyle w:val="ListNumber"/>
      </w:pPr>
      <w:r>
        <w:t>1. Handwritten receipts or informal slips without tax authority supervision stamps;</w:t>
      </w:r>
    </w:p>
    <w:p>
      <w:pPr>
        <w:pStyle w:val="ListNumber"/>
      </w:pPr>
      <w:r>
        <w:t>2. Vouchers whose information is manifestly inconsistent with the business trip or assignment;</w:t>
      </w:r>
    </w:p>
    <w:p>
      <w:pPr>
        <w:pStyle w:val="ListNumber"/>
      </w:pPr>
      <w:r>
        <w:t>3. Altered, forged, or duplicated receipts;</w:t>
      </w:r>
    </w:p>
    <w:p>
      <w:pPr>
        <w:pStyle w:val="ListNumber"/>
      </w:pPr>
      <w:r>
        <w:t>4. Non-business expenses such as personal upgrades, room service, or mini-bar charges.</w:t>
      </w:r>
    </w:p>
    <w:p>
      <w:pPr>
        <w:pStyle w:val="Heading1"/>
      </w:pPr>
      <w:r>
        <w:t>Chapter X Third-Party Booking and Affiliate Prepayment</w:t>
      </w:r>
    </w:p>
    <w:p>
      <w:r>
        <w:t>Article X Where accommodation, transportation, or other business expenses are centrally booked and prepaid by a business partner, client, local agent, or affiliate, and the invoice is issued to that third party rather than to the individual employee, the following documents shall be deemed compliant for reimbursement or cost confirmation purposes:</w:t>
      </w:r>
    </w:p>
    <w:p>
      <w:pPr>
        <w:pStyle w:val="ListNumber"/>
      </w:pPr>
      <w:r>
        <w:t>1. A formal dispatch notice, audit notice, or project approval document that explicitly states the third-party booking arrangement;</w:t>
      </w:r>
    </w:p>
    <w:p>
      <w:pPr>
        <w:pStyle w:val="ListNumber"/>
      </w:pPr>
      <w:r>
        <w:t>2. The hotel folio or occupancy record showing the actual guest is the Company's employee, with dates and location consistent with the assignment;</w:t>
      </w:r>
    </w:p>
    <w:p>
      <w:pPr>
        <w:pStyle w:val="ListNumber"/>
      </w:pPr>
      <w:r>
        <w:t>3. A cost confirmation letter or settlement note from the third party, or proof that the expense has been incorporated into a formal cooperation agreement or quarterly settlement between the Company and the third party.</w:t>
      </w:r>
    </w:p>
    <w:p>
      <w:r>
        <w:t>Under such circumstances, the invoice payee need not match the claimant's personal name. If the guest name on the receipt is redacted, masked, or simplified due to the third party's privacy policy or financial procedures, the expense shall still be considered verifiable and reimbursable provided the participant list, dispatch documents, and hotel folio cross-check confirm the actual occupant's identity.</w:t>
      </w:r>
    </w:p>
    <w:p>
      <w:pPr>
        <w:pStyle w:val="Heading1"/>
      </w:pPr>
      <w:r>
        <w:t>Chapter VIII Supplementary Provisions</w:t>
      </w:r>
    </w:p>
    <w:p>
      <w:r>
        <w:t>Article 12 This Policy shall take effect from the date of issuance and shall be interpreted by the Finance Department.</w:t>
      </w:r>
    </w:p>
    <w:p>
      <w:r>
        <w:t>Article 13 Overseas branches may formulate supplementary rules in accordance with local laws and commercial customs, provided that such rules do not contravene the principles of this Policy.</w:t>
      </w:r>
    </w:p>
    <w:p/>
    <w:p>
      <w:r>
        <w:t>Issuing Department: Group Finance Department</w:t>
      </w:r>
    </w:p>
    <w:p>
      <w:r>
        <w:t>Issue Date: 10 January 2024</w:t>
      </w:r>
    </w:p>
    <w:p>
      <w:r>
        <w:t>Version: V1.3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