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Event Accommodation Reimbursement Policy</w:t>
      </w:r>
    </w:p>
    <w:p>
      <w:r>
        <w:rPr>
          <w:b/>
        </w:rPr>
        <w:t>Doc. No.: GIT-FIN-2024-056</w:t>
      </w:r>
      <w:r>
        <w:br/>
        <w:t>Ver.: V1.0</w:t>
      </w:r>
      <w:r>
        <w:br/>
        <w:t>Effective Date: January 1, 2024</w:t>
      </w:r>
    </w:p>
    <w:p/>
    <w:p>
      <w:r>
        <w:t>To standardize the reimbursement of accommodation expenses incurred during company-organized conferences, regional summits, team building retreats, and other approved group events, and to ensure transparent and cost-effective lodging management, this policy is hereby established. This policy applies to all employees participating in approved multi-day events organized by Global Innovation Technologies Inc. that require overnight stays at a designated event venue or pre-negotiated group hotel.</w:t>
      </w:r>
    </w:p>
    <w:p>
      <w:pPr>
        <w:pStyle w:val="Heading1"/>
      </w:pPr>
      <w:r>
        <w:t>I. Definition of Event Accommodation Expenses</w:t>
      </w:r>
    </w:p>
    <w:p>
      <w:r>
        <w:t>The term "event accommodation expenses" refers to lodging costs directly associated with an approved company event that requires participants to stay overnight at or near the event venue. Such expenses include:</w:t>
      </w:r>
    </w:p>
    <w:p>
      <w:r>
        <w:t>1. Room charges at the designated event hotel for the approved event nights, including the negotiated group rate, applicable taxes, and mandatory municipal fees;</w:t>
      </w:r>
    </w:p>
    <w:p>
      <w:r>
        <w:t>2. Early-arrival or late-departure nights when explicitly authorized in the event notice due to travel schedule constraints (e.g., international flights, remote locations);</w:t>
      </w:r>
    </w:p>
    <w:p>
      <w:r>
        <w:t>3. Room upgrade charges when necessitated by accessibility requirements, medical needs, or room unavailability at the booked category, provided prior approval from the event coordinator is obtained.</w:t>
      </w:r>
    </w:p>
    <w:p>
      <w:r>
        <w:t>The following are excluded: personal leisure nights before or after the event, accommodation at non-designated hotels without prior approval, minibar charges, in-room entertainment, spa services, and charges for non-participant guests.</w:t>
      </w:r>
    </w:p>
    <w:p>
      <w:pPr>
        <w:pStyle w:val="Heading1"/>
      </w:pPr>
      <w:r>
        <w:t>II. Pre-Negotiated Group Rates and Reimbursement Rules</w:t>
      </w:r>
    </w:p>
    <w:p>
      <w:r>
        <w:t>For approved events with multi-city or multi-country participation, the event organizer may negotiate a group accommodation rate with a preferred hotel. The following rules apply:</w:t>
      </w:r>
    </w:p>
    <w:p>
      <w:r>
        <w:t>1. Pre-Approval Authority: The negotiated group rate and the designated hotel must be pre-approved by the Regional Director (or equivalent) and documented in the official event notice. The Finance Department shall be notified of the negotiated rate at least ten business days before the event date;</w:t>
      </w:r>
    </w:p>
    <w:p>
      <w:r>
        <w:t>2. Rate Validity: The negotiated group rate is valid only for the event dates and for participants confirmed on the official Participant List. Walk-in rates, standard rack rates, and third-party booking platform rates are not covered under the group rate agreement;</w:t>
      </w:r>
    </w:p>
    <w:p>
      <w:r>
        <w:t>3. Full Reimbursement of Pre-Negotiated Rate: When a participant stays at the designated event hotel and the folio reflects the pre-negotiated group rate (or a lower actual rate), the full folio amount is reimbursable regardless of the standard Business Travel Accommodation Policy nightly cap. The rationale is that the group rate represents a bulk-negotiated, cost-optimized arrangement approved by senior management;</w:t>
      </w:r>
    </w:p>
    <w:p>
      <w:r>
        <w:t>4. Standard Cap Applies Only to Non-Group Bookings: If a participant chooses to stay at a non-designated hotel without prior approval, the standard Business Travel Accommodation Policy cap applies, and only the amount within the cap is reimbursable;</w:t>
      </w:r>
    </w:p>
    <w:p>
      <w:r>
        <w:t>5. Single vs. Double Occupancy: The group rate is quoted for single occupancy. Participants who choose double occupancy (e.g., sharing with a colleague) may claim the full single-occupancy group rate or the actual double-occupancy rate, whichever is lower.</w:t>
      </w:r>
    </w:p>
    <w:p>
      <w:pPr>
        <w:pStyle w:val="Heading1"/>
      </w:pPr>
      <w:r>
        <w:t>III. Receipt and Documentation Requirements</w:t>
      </w:r>
    </w:p>
    <w:p>
      <w:r>
        <w:t>All event accommodation claims must include the following original documents:</w:t>
      </w:r>
    </w:p>
    <w:p>
      <w:r>
        <w:t>1. The original hotel folio or invoice showing the hotel name, full address, guest name, folio number, check-in date, check-out date, room number, and number of nights;</w:t>
      </w:r>
    </w:p>
    <w:p>
      <w:r>
        <w:t>2. An itemized breakdown of charges including the negotiated room rate, all applicable taxes (GST, VAT, sales tax), and mandatory destination marketing or tourism fees;</w:t>
      </w:r>
    </w:p>
    <w:p>
      <w:r>
        <w:t>3. Evidence that the folio reflects the pre-negotiated group rate or a lower actual rate;</w:t>
      </w:r>
    </w:p>
    <w:p>
      <w:r>
        <w:t>4. The guest's signature confirming acceptance of charges and balance settlement;</w:t>
      </w:r>
    </w:p>
    <w:p>
      <w:r>
        <w:t>5. A copy of the event confirmation or check-in voucher issued by the event coordinator, if applicable.</w:t>
      </w:r>
    </w:p>
    <w:p>
      <w:pPr>
        <w:pStyle w:val="Heading1"/>
      </w:pPr>
      <w:r>
        <w:t>IV. Claim Submission and Approval Process</w:t>
      </w:r>
    </w:p>
    <w:p>
      <w:r>
        <w:t>1. Submit the completed Expense Claim Form with all supporting documents within ten business days of the event conclusion date;</w:t>
      </w:r>
    </w:p>
    <w:p>
      <w:r>
        <w:t>2. The direct supervisor shall confirm that the claimant was a confirmed participant on the official Participant List and that the stay dates align with the event schedule;</w:t>
      </w:r>
    </w:p>
    <w:p>
      <w:r>
        <w:t>3. The Finance Department shall verify receipt authenticity, hotel name alignment with the designated venue, rate compliance with the pre-negotiated group rate, and amount accuracy;</w:t>
      </w:r>
    </w:p>
    <w:p>
      <w:r>
        <w:t>4. Approved claims shall be processed in the next monthly payment cycle.</w:t>
      </w:r>
    </w:p>
    <w:p>
      <w:pPr>
        <w:pStyle w:val="Heading1"/>
      </w:pPr>
      <w:r>
        <w:t>V. Supporting Documents Checklist</w:t>
      </w:r>
    </w:p>
    <w:p>
      <w:r>
        <w:t>Each claim must attach the following supporting documents:</w:t>
      </w:r>
    </w:p>
    <w:p>
      <w:r>
        <w:t>1. The official Event Notice stating the event name, dates, venue, designated hotel, negotiated group rate, and the names of the approving authorities (Regional Director and Finance Department);</w:t>
      </w:r>
    </w:p>
    <w:p>
      <w:r>
        <w:t>2. The official Participant List confirming the claimant's name, home office, and accommodation requirement;</w:t>
      </w:r>
    </w:p>
    <w:p>
      <w:r>
        <w:t>3. The Reimbursement Standard Enterprise sheet for general reference (note: standard caps are superseded by the pre-negotiated group rate for event accommodation).</w:t>
      </w:r>
    </w:p>
    <w:p/>
    <w:p>
      <w:pPr>
        <w:jc w:val="right"/>
      </w:pPr>
      <w:r>
        <w:rPr>
          <w:i/>
        </w:rPr>
        <w:t>Global Innovation Technologies Inc.</w:t>
        <w:br/>
        <w:t>Finance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