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0648D">
      <w:pPr>
        <w:pStyle w:val="31"/>
        <w:jc w:val="center"/>
      </w:pPr>
      <w:r>
        <w:rPr>
          <w:b/>
          <w:sz w:val="32"/>
        </w:rPr>
        <w:t>Team Building Dining Reimbursement Policy</w:t>
      </w:r>
    </w:p>
    <w:p w14:paraId="33BDC0DE">
      <w:r>
        <w:rPr>
          <w:b/>
        </w:rPr>
        <w:t>Doc. No.: GIT-FIN-2025-032</w:t>
      </w:r>
      <w:r>
        <w:br w:type="textWrapping"/>
      </w:r>
      <w:r>
        <w:t>Ver.: V2.0</w:t>
      </w:r>
      <w:r>
        <w:br w:type="textWrapping"/>
      </w:r>
      <w:r>
        <w:t>Effective Date: March 1, 2025</w:t>
      </w:r>
    </w:p>
    <w:p w14:paraId="706C2898"/>
    <w:p w14:paraId="36066345">
      <w:r>
        <w:t>To standardize the reimbursement of dining expenses incurred during company-organized team building activities, departmental celebrations, and regional gatherings, and to ensure transparent and fair expense management, this policy is hereby established. This policy applies to all employees participating in approved team building events organized by Global Innovation Technologies Inc. or its regional offices.</w:t>
      </w:r>
    </w:p>
    <w:p w14:paraId="55CCDEE4">
      <w:pPr>
        <w:pStyle w:val="3"/>
      </w:pPr>
      <w:r>
        <w:t>I. Scope of Reimbursable Dining Expenses</w:t>
      </w:r>
    </w:p>
    <w:p w14:paraId="44F2C4CE">
      <w:r>
        <w:t>The term "team building dining expenses" refers to meal expenditures directly related to company-approved team building activities, including:</w:t>
      </w:r>
    </w:p>
    <w:p w14:paraId="19A28131">
      <w:r>
        <w:t>1. Group meals organized as part of a scheduled team building event (e.g., celebration dinners, team lunches, welcome banquets, closing dinners);</w:t>
      </w:r>
    </w:p>
    <w:p w14:paraId="78B7AE4F">
      <w:r>
        <w:t>2. Extended dining sessions voluntarily arranged by participants at the designated event venue immediately following the conclusion of the formal team building program, provided the additional attendees are also confirmed event participants;</w:t>
      </w:r>
    </w:p>
    <w:p w14:paraId="796E8307">
      <w:r>
        <w:t>3. Beverages and service charges directly associated with the above meals, provided they appear on the same original receipt.</w:t>
      </w:r>
    </w:p>
    <w:p w14:paraId="6DC2E62F">
      <w:r>
        <w:t>The following are excluded: personal meals unrelated to the event, alcohol purchases for non-business purposes, off-site dining not at the designated venue, and meals attended by non-company personnel without prior approval.</w:t>
      </w:r>
    </w:p>
    <w:p w14:paraId="77EAF05B">
      <w:pPr>
        <w:pStyle w:val="3"/>
      </w:pPr>
      <w:r>
        <w:t>II. Reimbursement Limits and Rules</w:t>
      </w:r>
    </w:p>
    <w:p w14:paraId="267D09A8">
      <w:r>
        <w:t>Team building dining expenses are reimbursed under a pre-authorized event budget with the following principles:</w:t>
      </w:r>
    </w:p>
    <w:p w14:paraId="12B1CB0B">
      <w:r>
        <w:t>1. Main Event Group Meals: The centralized event budget covers all participants attending the formal group meal. No individual claim is required for these meals; the event coordinator submits a consolidated expense report.</w:t>
      </w:r>
    </w:p>
    <w:p w14:paraId="4EA952FD">
      <w:r>
        <w:t>2. Extended Dinner Claims: Participants who voluntarily extend their gathering at the same venue after the main event may claim reimbursement for the incremental dining cost. The following rules apply:</w:t>
      </w:r>
    </w:p>
    <w:p w14:paraId="73684C6C">
      <w:r>
        <w:t xml:space="preserve">   a. The receipt must show the same venue name and address as the official event venue;</w:t>
      </w:r>
    </w:p>
    <w:p w14:paraId="754002B7">
      <w:r>
        <w:t xml:space="preserve">   b. The receipt date must be the same as the official event date;</w:t>
      </w:r>
    </w:p>
    <w:p w14:paraId="745338D7">
      <w:r>
        <w:t xml:space="preserve">   c. All attendees listed on the claim must appear on the official Participant List;</w:t>
      </w:r>
    </w:p>
    <w:p w14:paraId="2C196932">
      <w:r>
        <w:t xml:space="preserve">   d. The per-person average must not exceed HKD 400.00 for Asia-Pacific Tier-1 cities    (Hong Kong, Singapore, Tokyo, Sydney); HKD 300.00 for Tier-2 cities; and equivalent    converted amounts for other regions;</w:t>
      </w:r>
    </w:p>
    <w:p w14:paraId="70DB1DE1">
      <w:r>
        <w:t xml:space="preserve">   e. The total number of attendees per extended dinner group must not exceed </w:t>
      </w:r>
      <w:r>
        <w:rPr>
          <w:rFonts w:hint="eastAsia" w:eastAsia="宋体"/>
          <w:lang w:val="en-US" w:eastAsia="zh-CN"/>
        </w:rPr>
        <w:t>twenty people</w:t>
      </w:r>
      <w:bookmarkStart w:id="0" w:name="_GoBack"/>
      <w:bookmarkEnd w:id="0"/>
      <w:r>
        <w:t>;</w:t>
      </w:r>
    </w:p>
    <w:p w14:paraId="31DF6E7C">
      <w:pPr>
        <w:rPr>
          <w:rFonts w:hint="eastAsia" w:eastAsia="宋体"/>
          <w:lang w:val="en-US" w:eastAsia="zh-CN"/>
        </w:rPr>
      </w:pPr>
      <w:r>
        <w:t xml:space="preserve">   f. A single designated claimant submits the receipt on behalf of the group and lists all    attendees in the Expense Claim Form.</w:t>
      </w:r>
    </w:p>
    <w:p w14:paraId="1CD73498">
      <w:pPr>
        <w:pStyle w:val="3"/>
      </w:pPr>
      <w:r>
        <w:t>III. Receipt Requirements</w:t>
      </w:r>
    </w:p>
    <w:p w14:paraId="76184035">
      <w:r>
        <w:t>Original receipts must meet the following criteria:</w:t>
      </w:r>
    </w:p>
    <w:p w14:paraId="09E74F3F">
      <w:r>
        <w:t>1. Clearly display the merchant name, full address, date, and time of transaction;</w:t>
      </w:r>
    </w:p>
    <w:p w14:paraId="1D91BA9B">
      <w:r>
        <w:t>2. Show an itemized list of purchased items, quantities, unit prices, and the total amount;</w:t>
      </w:r>
    </w:p>
    <w:p w14:paraId="09570484">
      <w:r>
        <w:t>3. Indicate the payment method (cash, credit card, or mobile payment);</w:t>
      </w:r>
    </w:p>
    <w:p w14:paraId="03AEAF42">
      <w:r>
        <w:t>4. Be an original printed receipt. Reprints are acceptable only if stamped by the merchant with a "REPRINT" mark and signed by the cashier;</w:t>
      </w:r>
    </w:p>
    <w:p w14:paraId="39E1C111">
      <w:r>
        <w:t>5. The receipt date and time must fall within the approved event date and the event venue operating hours.</w:t>
      </w:r>
    </w:p>
    <w:p w14:paraId="7B94B5B7">
      <w:pPr>
        <w:pStyle w:val="3"/>
      </w:pPr>
      <w:r>
        <w:t>IV. Claim Submission Process</w:t>
      </w:r>
    </w:p>
    <w:p w14:paraId="55093BC4">
      <w:r>
        <w:t>1. Complete the Expense Claim Form and attach all original receipts within five business days of the event date;</w:t>
      </w:r>
    </w:p>
    <w:p w14:paraId="44ACBBA2">
      <w:r>
        <w:t>2. The direct supervisor shall verify that the claimants are confirmed event participants and that the dining was event-related;</w:t>
      </w:r>
    </w:p>
    <w:p w14:paraId="27E45D4A">
      <w:r>
        <w:t>3. The Finance Department shall verify receipt authenticity, venue alignment, participant list confirmation, and per-person cap compliance;</w:t>
      </w:r>
    </w:p>
    <w:p w14:paraId="197279B2">
      <w:r>
        <w:t>4. Approved claims shall be processed in the next bi-weekly payment cycle.</w:t>
      </w:r>
    </w:p>
    <w:p w14:paraId="1E1E3B86">
      <w:pPr>
        <w:pStyle w:val="3"/>
      </w:pPr>
      <w:r>
        <w:t>V. Supporting Documents</w:t>
      </w:r>
    </w:p>
    <w:p w14:paraId="00E2B6B3">
      <w:r>
        <w:t>Each claim must include the following supporting documents:</w:t>
      </w:r>
    </w:p>
    <w:p w14:paraId="5C049FC6">
      <w:r>
        <w:t>1. The official Team Building Activity Notice stating the event name, date, venue, and authorized budget;</w:t>
      </w:r>
    </w:p>
    <w:p w14:paraId="487908C0">
      <w:r>
        <w:t>2. The official Participant List confirming the names and roles of all dining attendees;</w:t>
      </w:r>
    </w:p>
    <w:p w14:paraId="6A6755F6">
      <w:r>
        <w:t>3. The Reimbursement Standard Enterprise sheet for reference on regional per-person caps.</w:t>
      </w:r>
    </w:p>
    <w:p w14:paraId="1DD92B1F"/>
    <w:p w14:paraId="4FD6F033">
      <w:pPr>
        <w:jc w:val="right"/>
      </w:pPr>
      <w:r>
        <w:rPr>
          <w:i/>
        </w:rPr>
        <w:t>Global Innovation Technologies Inc.</w:t>
      </w:r>
      <w:r>
        <w:rPr>
          <w:i/>
        </w:rPr>
        <w:br w:type="textWrapping"/>
      </w:r>
      <w:r>
        <w:rPr>
          <w:i/>
        </w:rPr>
        <w:t>Finance Department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7A7F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610</Words>
  <Characters>3541</Characters>
  <Lines>0</Lines>
  <Paragraphs>0</Paragraphs>
  <TotalTime>3</TotalTime>
  <ScaleCrop>false</ScaleCrop>
  <LinksUpToDate>false</LinksUpToDate>
  <CharactersWithSpaces>4138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张恩赐</cp:lastModifiedBy>
  <dcterms:modified xsi:type="dcterms:W3CDTF">2026-05-22T14:27:50Z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eyJoZGlkIjoiNjM2MDFmNDgxNzY5MjEzNDM4MzhiMzVhNzYwOTI1ODYiLCJ1c2VySWQiOiIxNjM5NDUwMjI1In0=</vt:lpwstr>
  </property>
  <property fmtid="{D5CDD505-2E9C-101B-9397-08002B2CF9AE}" pid="3" name="KSOProductBuildVer">
    <vt:lpwstr>2052-12.1.0.23542</vt:lpwstr>
  </property>
  <property fmtid="{D5CDD505-2E9C-101B-9397-08002B2CF9AE}" pid="4" name="ICV">
    <vt:lpwstr>28A590948653482895034DE92E473F5A_12</vt:lpwstr>
  </property>
</Properties>
</file>