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66293">
      <w:pPr>
        <w:spacing w:before="240" w:after="240"/>
        <w:jc w:val="center"/>
      </w:pPr>
      <w:r>
        <w:rPr>
          <w:rFonts w:ascii="Calibri" w:hAnsi="Calibri" w:eastAsia="Calibri"/>
          <w:b/>
          <w:color w:val="1A3A5C"/>
          <w:sz w:val="32"/>
        </w:rPr>
        <w:t>Apex International Events GmbH</w:t>
      </w:r>
      <w:r>
        <w:rPr>
          <w:rFonts w:ascii="Calibri" w:hAnsi="Calibri" w:eastAsia="Calibri"/>
          <w:b/>
          <w:color w:val="1A3A5C"/>
          <w:sz w:val="32"/>
        </w:rPr>
        <w:br w:type="textWrapping"/>
      </w:r>
      <w:r>
        <w:rPr>
          <w:rFonts w:ascii="Calibri" w:hAnsi="Calibri" w:eastAsia="Calibri"/>
          <w:b/>
          <w:color w:val="1A3A5C"/>
          <w:sz w:val="32"/>
        </w:rPr>
        <w:t>On-Site Event Service Labor Cost Reimbursement Policy</w:t>
      </w:r>
    </w:p>
    <w:p w14:paraId="5D9304F6">
      <w:pPr>
        <w:spacing w:after="240"/>
        <w:jc w:val="center"/>
      </w:pPr>
      <w:r>
        <w:rPr>
          <w:rFonts w:ascii="Calibri" w:hAnsi="Calibri" w:eastAsia="Calibri"/>
          <w:b w:val="0"/>
          <w:color w:val="718096"/>
          <w:sz w:val="21"/>
        </w:rPr>
        <w:t>(2023 Edition)</w:t>
      </w:r>
      <w:r>
        <w:rPr>
          <w:rFonts w:ascii="Calibri" w:hAnsi="Calibri" w:eastAsia="Calibri"/>
          <w:b w:val="0"/>
          <w:color w:val="718096"/>
          <w:sz w:val="21"/>
        </w:rPr>
        <w:br w:type="textWrapping"/>
      </w:r>
      <w:r>
        <w:rPr>
          <w:rFonts w:ascii="Calibri" w:hAnsi="Calibri" w:eastAsia="Calibri"/>
          <w:b w:val="0"/>
          <w:color w:val="718096"/>
          <w:sz w:val="21"/>
        </w:rPr>
        <w:t>Finance &amp; Compliance Department</w:t>
      </w:r>
    </w:p>
    <w:p w14:paraId="7F65879A"/>
    <w:p w14:paraId="35917652">
      <w:pPr>
        <w:spacing w:after="120" w:line="360" w:lineRule="auto"/>
        <w:ind w:firstLine="420"/>
      </w:pPr>
      <w:r>
        <w:rPr>
          <w:rFonts w:ascii="Calibri" w:hAnsi="Calibri" w:eastAsia="Calibri"/>
          <w:b w:val="0"/>
          <w:color w:val="2D3748"/>
          <w:sz w:val="21"/>
        </w:rPr>
        <w:t>In order to standardize the reimbursement management of on-site event service labor costs, ensure that procurement expenditures are authentic, compliant, and traceable, this policy is formulated in accordance with internationally accepted corporate financial governance standards and relevant provisions of the German Commercial Code (HGB), taking into account the business characteristics of the Company. This policy applies to all regular employees, project contractors, and authorized temporary staff of Apex International Events GmbH, covering procurement scenarios including event venue security, cleaning, on-site coordination, stripping and removal, and other on-site auxiliary labor services.</w:t>
      </w:r>
    </w:p>
    <w:p w14:paraId="1C9B8C9F">
      <w:pPr>
        <w:spacing w:before="160" w:after="160"/>
      </w:pPr>
      <w:r>
        <w:rPr>
          <w:rFonts w:ascii="Calibri" w:hAnsi="Calibri" w:eastAsia="Calibri"/>
          <w:b/>
          <w:color w:val="2C5282"/>
          <w:sz w:val="24"/>
        </w:rPr>
        <w:t>Chapter I  Definition of Reimbursable Expenses</w:t>
      </w:r>
    </w:p>
    <w:p w14:paraId="5BCE4C8D">
      <w:pPr>
        <w:spacing w:after="120" w:line="360" w:lineRule="auto"/>
        <w:ind w:firstLine="420"/>
      </w:pPr>
      <w:r>
        <w:rPr>
          <w:rFonts w:ascii="Calibri" w:hAnsi="Calibri" w:eastAsia="Calibri"/>
          <w:b w:val="0"/>
          <w:color w:val="2D3748"/>
          <w:sz w:val="21"/>
        </w:rPr>
        <w:t>On-site event service labor costs refer to expenditures incurred by employees in the performance of their work duties and execution of company-approved projects, representing payments made to external service suppliers for labor and auxiliary services. Specifically, these include but are not limited to the following components:</w:t>
      </w:r>
    </w:p>
    <w:p w14:paraId="74B64DCB">
      <w:pPr>
        <w:spacing w:after="120" w:line="360" w:lineRule="auto"/>
        <w:ind w:left="720" w:firstLine="420"/>
      </w:pPr>
      <w:r>
        <w:rPr>
          <w:rFonts w:ascii="Calibri" w:hAnsi="Calibri" w:eastAsia="Calibri"/>
          <w:b w:val="0"/>
          <w:color w:val="2D3748"/>
          <w:sz w:val="21"/>
        </w:rPr>
        <w:t>(1) Labor Service Fees: Remuneration for security personnel, cleaning staff, on-site coordinators, technical supervisors, and other positions, including base wages, shift allowances, pre-job training, and on-site briefing fees;</w:t>
      </w:r>
    </w:p>
    <w:p w14:paraId="4D98C788">
      <w:pPr>
        <w:spacing w:after="120" w:line="360" w:lineRule="auto"/>
        <w:ind w:left="720" w:firstLine="420"/>
      </w:pPr>
      <w:r>
        <w:rPr>
          <w:rFonts w:ascii="Calibri" w:hAnsi="Calibri" w:eastAsia="Calibri"/>
          <w:b w:val="0"/>
          <w:color w:val="2D3748"/>
          <w:sz w:val="21"/>
        </w:rPr>
        <w:t>(2) Auxiliary Consumables: Hygiene products, cleaning agents, trash liners, hand sanitizer station consumables, and protective equipment consumed during service delivery; such fees shall be consolidated into the total on-site service labor cost;</w:t>
      </w:r>
    </w:p>
    <w:p w14:paraId="239D1445">
      <w:pPr>
        <w:spacing w:after="120" w:line="360" w:lineRule="auto"/>
        <w:ind w:left="720" w:firstLine="420"/>
      </w:pPr>
      <w:r>
        <w:rPr>
          <w:rFonts w:ascii="Calibri" w:hAnsi="Calibri" w:eastAsia="Calibri"/>
          <w:b w:val="0"/>
          <w:color w:val="2D3748"/>
          <w:sz w:val="21"/>
        </w:rPr>
        <w:t>(3) Waste Disposal Fees: Classification, compliant disposal, and corresponding insurance costs for construction debris, daily waste, and hazardous waste generated after event stripping;</w:t>
      </w:r>
    </w:p>
    <w:p w14:paraId="61CEE1C7">
      <w:pPr>
        <w:spacing w:after="120" w:line="360" w:lineRule="auto"/>
        <w:ind w:left="720" w:firstLine="420"/>
      </w:pPr>
      <w:r>
        <w:rPr>
          <w:rFonts w:ascii="Calibri" w:hAnsi="Calibri" w:eastAsia="Calibri"/>
          <w:b w:val="0"/>
          <w:color w:val="2D3748"/>
          <w:sz w:val="21"/>
        </w:rPr>
        <w:t>(4) Equipment Rental and Transport: Rental and round-trip transport of industrial trash bins, cleaning equipment, and security apparatus required for service delivery;</w:t>
      </w:r>
    </w:p>
    <w:p w14:paraId="26072529">
      <w:pPr>
        <w:spacing w:after="120" w:line="360" w:lineRule="auto"/>
        <w:ind w:left="720" w:firstLine="420"/>
      </w:pPr>
      <w:r>
        <w:rPr>
          <w:rFonts w:ascii="Calibri" w:hAnsi="Calibri" w:eastAsia="Calibri"/>
          <w:b w:val="0"/>
          <w:color w:val="2D3748"/>
          <w:sz w:val="21"/>
        </w:rPr>
        <w:t>(5) Expedited Service Fees: Night-shift operation, holiday attendance, or priority scheduling surcharges charged by suppliers due to tight project schedules.</w:t>
      </w:r>
    </w:p>
    <w:p w14:paraId="1953A063">
      <w:pPr>
        <w:spacing w:after="120" w:line="360" w:lineRule="auto"/>
        <w:ind w:firstLine="420"/>
      </w:pPr>
      <w:r>
        <w:rPr>
          <w:rFonts w:ascii="Calibri" w:hAnsi="Calibri" w:eastAsia="Calibri"/>
          <w:b w:val="0"/>
          <w:color w:val="2D3748"/>
          <w:sz w:val="21"/>
        </w:rPr>
        <w:t>Special Note: All the above-mentioned expense items shall be regarded as the overall expenditure of a single on-site service labor procurement transaction. When submitting reimbursement, they must be consolidated into a single expense application and shall not be artificially split to circumvent the approval process.</w:t>
      </w:r>
    </w:p>
    <w:p w14:paraId="5A6931BA">
      <w:pPr>
        <w:spacing w:before="160" w:after="160"/>
      </w:pPr>
      <w:r>
        <w:rPr>
          <w:rFonts w:ascii="Calibri" w:hAnsi="Calibri" w:eastAsia="Calibri"/>
          <w:b/>
          <w:color w:val="2C5282"/>
          <w:sz w:val="24"/>
        </w:rPr>
        <w:t>Chapter II  Reimbursement Workflow</w:t>
      </w:r>
    </w:p>
    <w:p w14:paraId="122FCCD1">
      <w:pPr>
        <w:spacing w:after="120" w:line="360" w:lineRule="auto"/>
        <w:ind w:firstLine="420"/>
      </w:pPr>
      <w:r>
        <w:rPr>
          <w:rFonts w:ascii="Calibri" w:hAnsi="Calibri" w:eastAsia="Calibri"/>
          <w:b w:val="0"/>
          <w:color w:val="2D3748"/>
          <w:sz w:val="21"/>
        </w:rPr>
        <w:t>The Company implements a "Four-Level Review, Closed-Loop Management" mechanism for on-site service labor cost reimbursement. The specific workflow is as follows:</w:t>
      </w:r>
    </w:p>
    <w:p w14:paraId="17FBA9DE">
      <w:pPr>
        <w:spacing w:after="120" w:line="360" w:lineRule="auto"/>
        <w:ind w:left="720" w:firstLine="420"/>
      </w:pPr>
      <w:r>
        <w:rPr>
          <w:rFonts w:ascii="Calibri" w:hAnsi="Calibri" w:eastAsia="Calibri"/>
          <w:b w:val="0"/>
          <w:color w:val="2D3748"/>
          <w:sz w:val="21"/>
        </w:rPr>
        <w:t>(1) Submission of Reimbursement Materials: The claimant must submit the reimbursement application through the company financial system (SAP Concur) within thirty calendar days after the expense occurs, and upload the following materials: original Commercial Invoice or electronic invoice (PDF format); approved procurement request form or project budget sheet; service confirmation form or work-hour sign-off proof provided by the supplier; for cross-border services, a copy of the customs import declaration and tax payment certificate.</w:t>
      </w:r>
    </w:p>
    <w:p w14:paraId="1546E61D">
      <w:pPr>
        <w:spacing w:after="120" w:line="360" w:lineRule="auto"/>
        <w:ind w:left="720" w:firstLine="420"/>
      </w:pPr>
      <w:r>
        <w:rPr>
          <w:rFonts w:ascii="Calibri" w:hAnsi="Calibri" w:eastAsia="Calibri"/>
          <w:b w:val="0"/>
          <w:color w:val="2D3748"/>
          <w:sz w:val="21"/>
        </w:rPr>
        <w:t>(2) Department Head Review: The department head of the claimant (Director level or above) must complete the initial review within five working days, focusing on verifying whether the procurement is consistent with the department's annual work plan, whether the invoice information matches the procurement content, and whether the supplier is listed in the company's approved vendor directory.</w:t>
      </w:r>
    </w:p>
    <w:p w14:paraId="564E1BB4">
      <w:pPr>
        <w:spacing w:after="120" w:line="360" w:lineRule="auto"/>
        <w:ind w:left="720" w:firstLine="420"/>
        <w:rPr>
          <w:rFonts w:ascii="Calibri" w:hAnsi="Calibri" w:eastAsia="Calibri"/>
          <w:b w:val="0"/>
          <w:color w:val="2D3748"/>
          <w:sz w:val="21"/>
        </w:rPr>
      </w:pPr>
      <w:r>
        <w:rPr>
          <w:rFonts w:ascii="Calibri" w:hAnsi="Calibri" w:eastAsia="Calibri"/>
          <w:b w:val="0"/>
          <w:color w:val="2D3748"/>
          <w:sz w:val="21"/>
        </w:rPr>
        <w:t>(3) Finance Department Review: The Company's Financial Shared Service Center (SSC) must complete the review within seven working days after receiving the initially approved application, focusing on invoice authenticity, tax compliance, exchange rate conversion accuracy, and consistency between the payment account and the supplier's contractual account.</w:t>
      </w:r>
    </w:p>
    <w:p w14:paraId="6206E244">
      <w:pPr>
        <w:spacing w:after="120" w:line="360" w:lineRule="auto"/>
        <w:ind w:left="720" w:firstLine="420"/>
        <w:rPr>
          <w:rFonts w:hint="default" w:ascii="Calibri" w:hAnsi="Calibri" w:eastAsia="宋体"/>
          <w:b w:val="0"/>
          <w:color w:val="2D3748"/>
          <w:sz w:val="21"/>
          <w:lang w:val="en-US" w:eastAsia="zh-CN"/>
        </w:rPr>
      </w:pPr>
      <w:r>
        <w:rPr>
          <w:rFonts w:hint="eastAsia" w:eastAsia="宋体"/>
          <w:b w:val="0"/>
          <w:color w:val="2D3748"/>
          <w:sz w:val="21"/>
          <w:lang w:val="en-US" w:eastAsia="zh-CN"/>
        </w:rPr>
        <w:t>(4)VP / President Approval: After passing the financial review, applications exceeding the department’s delegated approval authority (e.g., EUR 5,000 or above, or high-value event services) must be further reviewed and approved by the Vice President or President of the Business Unit within three working days. No reimbursement or payment may be processed without this final executive-level approval.</w:t>
      </w:r>
    </w:p>
    <w:p w14:paraId="0DFA4170">
      <w:pPr>
        <w:spacing w:after="120" w:line="360" w:lineRule="auto"/>
        <w:ind w:left="720" w:firstLine="420"/>
      </w:pPr>
      <w:r>
        <w:rPr>
          <w:rFonts w:ascii="Calibri" w:hAnsi="Calibri" w:eastAsia="Calibri"/>
          <w:b w:val="0"/>
          <w:color w:val="2D3748"/>
          <w:sz w:val="21"/>
        </w:rPr>
        <w:t>(</w:t>
      </w:r>
      <w:r>
        <w:rPr>
          <w:rFonts w:hint="eastAsia" w:eastAsia="宋体"/>
          <w:b w:val="0"/>
          <w:color w:val="2D3748"/>
          <w:sz w:val="21"/>
          <w:lang w:val="en-US" w:eastAsia="zh-CN"/>
        </w:rPr>
        <w:t>5</w:t>
      </w:r>
      <w:bookmarkStart w:id="0" w:name="_GoBack"/>
      <w:bookmarkEnd w:id="0"/>
      <w:r>
        <w:rPr>
          <w:rFonts w:ascii="Calibri" w:hAnsi="Calibri" w:eastAsia="Calibri"/>
          <w:b w:val="0"/>
          <w:color w:val="2D3748"/>
          <w:sz w:val="21"/>
        </w:rPr>
        <w:t>) Reimbursement Disbursement: Upon approval by Finance, the reimbursement amount will be transferred to the claimant's designated salary-linked bank account on the next centralized payment date (the 5th, 15th, or 25th of each month). For supplier payments, funds will be transferred directly to the supplier's bank account as stipulated in the contract.</w:t>
      </w:r>
    </w:p>
    <w:p w14:paraId="5C5CCD6F">
      <w:pPr>
        <w:spacing w:before="160" w:after="160"/>
      </w:pPr>
      <w:r>
        <w:rPr>
          <w:rFonts w:ascii="Calibri" w:hAnsi="Calibri" w:eastAsia="Calibri"/>
          <w:b/>
          <w:color w:val="2C5282"/>
          <w:sz w:val="24"/>
        </w:rPr>
        <w:t>Chapter III  Invoice Information Requirements</w:t>
      </w:r>
    </w:p>
    <w:p w14:paraId="69C60F11">
      <w:pPr>
        <w:spacing w:after="120" w:line="360" w:lineRule="auto"/>
        <w:ind w:firstLine="420"/>
      </w:pPr>
      <w:r>
        <w:rPr>
          <w:rFonts w:ascii="Calibri" w:hAnsi="Calibri" w:eastAsia="Calibri"/>
          <w:b w:val="0"/>
          <w:color w:val="2D3748"/>
          <w:sz w:val="21"/>
        </w:rPr>
        <w:t>All reimbursement applications must be accompanied by legal and valid original invoices. The invoice must clearly state the following core information: transaction date, city of transaction (city-level precision is sufficient), supplier name and tax identification number, detailed description of goods or services, quantity, unit price, currency, and total amount. The date information on the invoice is used to confirm the expense attribution period, and the city information is used to verify whether the business location is consistent with the project plan.</w:t>
      </w:r>
    </w:p>
    <w:p w14:paraId="3CCBACE8">
      <w:pPr>
        <w:spacing w:after="120" w:line="360" w:lineRule="auto"/>
        <w:ind w:firstLine="420"/>
      </w:pPr>
      <w:r>
        <w:rPr>
          <w:rFonts w:ascii="Calibri" w:hAnsi="Calibri" w:eastAsia="Calibri"/>
          <w:b w:val="0"/>
          <w:color w:val="2D3748"/>
          <w:sz w:val="21"/>
        </w:rPr>
        <w:t>In addition to the above core information, detailed information such as the supplier's specific address, contact telephone number, bank account, service personnel qualification numbers, and service terms shall be based solely on the content of the invoice itself, and shall not be repeated in background documents, so as to ensure the independence and irreplaceability of the invoice as the sole original voucher.</w:t>
      </w:r>
    </w:p>
    <w:p w14:paraId="44CC0FB7">
      <w:pPr>
        <w:spacing w:before="160" w:after="160"/>
      </w:pPr>
      <w:r>
        <w:rPr>
          <w:rFonts w:ascii="Calibri" w:hAnsi="Calibri" w:eastAsia="Calibri"/>
          <w:b/>
          <w:color w:val="2C5282"/>
          <w:sz w:val="24"/>
        </w:rPr>
        <w:t>Chapter IV  Multi-Person Reimbursement Requirements</w:t>
      </w:r>
    </w:p>
    <w:p w14:paraId="3CF3C50D">
      <w:pPr>
        <w:spacing w:after="120" w:line="360" w:lineRule="auto"/>
        <w:ind w:firstLine="420"/>
      </w:pPr>
      <w:r>
        <w:rPr>
          <w:rFonts w:ascii="Calibri" w:hAnsi="Calibri" w:eastAsia="Calibri"/>
          <w:b w:val="0"/>
          <w:color w:val="2D3748"/>
          <w:sz w:val="21"/>
        </w:rPr>
        <w:t>Where an on-site service labor procurement transaction involves two or more employees jointly initiating or jointly benefiting, the reimbursement handling rules are as follows:</w:t>
      </w:r>
    </w:p>
    <w:p w14:paraId="1438821A">
      <w:pPr>
        <w:spacing w:after="120" w:line="360" w:lineRule="auto"/>
        <w:ind w:left="720" w:firstLine="420"/>
      </w:pPr>
      <w:r>
        <w:rPr>
          <w:rFonts w:ascii="Calibri" w:hAnsi="Calibri" w:eastAsia="Calibri"/>
          <w:b w:val="0"/>
          <w:color w:val="2D3748"/>
          <w:sz w:val="21"/>
        </w:rPr>
        <w:t>(1) Joint Procurement: Where two or more employees jointly purchase similar services from the same supplier and the invoice is issued in the company name, one employee may submit the reimbursement application on behalf of the group, with the remaining co-procurers marked as "joint beneficiaries" in the system; the reimbursement amount shall be recorded in a single entry based on the actual invoice amount.</w:t>
      </w:r>
    </w:p>
    <w:p w14:paraId="0495D509">
      <w:pPr>
        <w:spacing w:after="120" w:line="360" w:lineRule="auto"/>
        <w:ind w:left="720" w:firstLine="420"/>
      </w:pPr>
      <w:r>
        <w:rPr>
          <w:rFonts w:ascii="Calibri" w:hAnsi="Calibri" w:eastAsia="Calibri"/>
          <w:b w:val="0"/>
          <w:color w:val="2D3748"/>
          <w:sz w:val="21"/>
        </w:rPr>
        <w:t>(2) Split Reimbursement: Where the invoice is issued in an individual's name and the procured services are shared by multiple persons, the reimbursement amount may be apportioned according to the actual per-capita usage ratio; however, the aggregate amount of all split applications must not exceed the original invoice total.</w:t>
      </w:r>
    </w:p>
    <w:p w14:paraId="544AC13A">
      <w:pPr>
        <w:spacing w:after="120" w:line="360" w:lineRule="auto"/>
        <w:ind w:left="720" w:firstLine="420"/>
      </w:pPr>
      <w:r>
        <w:rPr>
          <w:rFonts w:ascii="Calibri" w:hAnsi="Calibri" w:eastAsia="Calibri"/>
          <w:b w:val="0"/>
          <w:color w:val="2D3748"/>
          <w:sz w:val="21"/>
        </w:rPr>
        <w:t>(3) Team Activity Services: For bulk procurement of on-site services in the context of departmental team building, client events, exhibition roadshows, etc., the department-designated liaison shall submit the reimbursement on a unified basis; the reimbursement amount may be aggregated, provided that an approved activity plan and participant list are attached.</w:t>
      </w:r>
    </w:p>
    <w:p w14:paraId="2CD4893E">
      <w:pPr>
        <w:spacing w:before="160" w:after="160"/>
      </w:pPr>
      <w:r>
        <w:rPr>
          <w:rFonts w:ascii="Calibri" w:hAnsi="Calibri" w:eastAsia="Calibri"/>
          <w:b/>
          <w:color w:val="2C5282"/>
          <w:sz w:val="24"/>
        </w:rPr>
        <w:t>Chapter V  Authenticity Supporting Documents</w:t>
      </w:r>
    </w:p>
    <w:p w14:paraId="5324A752">
      <w:pPr>
        <w:spacing w:after="120" w:line="360" w:lineRule="auto"/>
        <w:ind w:firstLine="420"/>
      </w:pPr>
      <w:r>
        <w:rPr>
          <w:rFonts w:ascii="Calibri" w:hAnsi="Calibri" w:eastAsia="Calibri"/>
          <w:b w:val="0"/>
          <w:color w:val="2D3748"/>
          <w:sz w:val="21"/>
        </w:rPr>
        <w:t>The claimant must provide authenticity supporting documents directly related to the on-site service labor procurement transaction to form a complete chain of evidence. Such materials typically include but are not limited to: project initiation notices, procurement approval forms, meeting minutes, work logs, supplier quotations, contract excerpts, and acceptance reports. The above materials may include the time period and city of the procurement transaction, but shall not contain detailed information such as the supplier's specific street address or internal venue room numbers, which shall be provided by the invoice itself.</w:t>
      </w:r>
    </w:p>
    <w:p w14:paraId="0255F973">
      <w:pPr>
        <w:spacing w:before="160" w:after="160"/>
      </w:pPr>
      <w:r>
        <w:rPr>
          <w:rFonts w:ascii="Calibri" w:hAnsi="Calibri" w:eastAsia="Calibri"/>
          <w:b/>
          <w:color w:val="2C5282"/>
          <w:sz w:val="24"/>
        </w:rPr>
        <w:t>Chapter VI  Acceptable Invoice Types</w:t>
      </w:r>
    </w:p>
    <w:p w14:paraId="42FE9856">
      <w:pPr>
        <w:spacing w:after="120" w:line="360" w:lineRule="auto"/>
        <w:ind w:firstLine="420"/>
      </w:pPr>
      <w:r>
        <w:rPr>
          <w:rFonts w:ascii="Calibri" w:hAnsi="Calibri" w:eastAsia="Calibri"/>
          <w:b w:val="0"/>
          <w:color w:val="2D3748"/>
          <w:sz w:val="21"/>
        </w:rPr>
        <w:t>The Company only accepts invoices meeting the following conditions as reimbursement vouchers:</w:t>
      </w:r>
    </w:p>
    <w:p w14:paraId="51CB52EC">
      <w:pPr>
        <w:spacing w:after="120" w:line="360" w:lineRule="auto"/>
        <w:ind w:left="720" w:firstLine="420"/>
      </w:pPr>
      <w:r>
        <w:rPr>
          <w:rFonts w:ascii="Calibri" w:hAnsi="Calibri" w:eastAsia="Calibri"/>
          <w:b w:val="0"/>
          <w:color w:val="2D3748"/>
          <w:sz w:val="21"/>
        </w:rPr>
        <w:t>(1) Machine-Printed Invoices: Automatically generated machine-printed invoices from the supplier's tax-control system or electronic invoicing platform, which must bear a continuous serial number and a QR code or barcode verification zone;</w:t>
      </w:r>
    </w:p>
    <w:p w14:paraId="1C769663">
      <w:pPr>
        <w:spacing w:after="120" w:line="360" w:lineRule="auto"/>
        <w:ind w:left="720" w:firstLine="420"/>
      </w:pPr>
      <w:r>
        <w:rPr>
          <w:rFonts w:ascii="Calibri" w:hAnsi="Calibri" w:eastAsia="Calibri"/>
          <w:b w:val="0"/>
          <w:color w:val="2D3748"/>
          <w:sz w:val="21"/>
        </w:rPr>
        <w:t>(2) Electronic Invoices: Electronic-format invoices (PDF/XML) compliant with the EU VAT Directive or the electronic invoicing regulations of the respective member states (e.g., German ZUGFeRD standard, UK PEPPOL standard), which must contain the supplier's digital signature or tax authority filing identifier;</w:t>
      </w:r>
    </w:p>
    <w:p w14:paraId="51053399">
      <w:pPr>
        <w:spacing w:after="120" w:line="360" w:lineRule="auto"/>
        <w:ind w:left="720" w:firstLine="420"/>
      </w:pPr>
      <w:r>
        <w:rPr>
          <w:rFonts w:ascii="Calibri" w:hAnsi="Calibri" w:eastAsia="Calibri"/>
          <w:b w:val="0"/>
          <w:color w:val="2D3748"/>
          <w:sz w:val="21"/>
        </w:rPr>
        <w:t>(3) Commercial Invoices: Commercial invoices issued by exporters in international trade scenarios, which must be consistent with customs declarations and bill of lading information;</w:t>
      </w:r>
    </w:p>
    <w:p w14:paraId="3E44DB96">
      <w:pPr>
        <w:spacing w:after="120" w:line="360" w:lineRule="auto"/>
        <w:ind w:left="720" w:firstLine="420"/>
      </w:pPr>
      <w:r>
        <w:rPr>
          <w:rFonts w:ascii="Calibri" w:hAnsi="Calibri" w:eastAsia="Calibri"/>
          <w:b w:val="0"/>
          <w:color w:val="2D3748"/>
          <w:sz w:val="21"/>
        </w:rPr>
        <w:t>(4) Handwritten Receipts Not Accepted: Any handwritten receipts filled out manually by suppliers without system records or anti-counterfeiting identifiers are deemed invalid vouchers, and the Finance Department reserves the right to reject them outright;</w:t>
      </w:r>
    </w:p>
    <w:p w14:paraId="5DD99F25">
      <w:pPr>
        <w:spacing w:after="120" w:line="360" w:lineRule="auto"/>
        <w:ind w:left="720" w:firstLine="420"/>
      </w:pPr>
      <w:r>
        <w:rPr>
          <w:rFonts w:ascii="Calibri" w:hAnsi="Calibri" w:eastAsia="Calibri"/>
          <w:b w:val="0"/>
          <w:color w:val="2D3748"/>
          <w:sz w:val="21"/>
        </w:rPr>
        <w:t>(5) Invoice Language: Invoices issued by foreign suppliers in foreign languages may be accepted normally; the claimant shall annotate the Chinese meaning of key fields (e.g., invoice type, general category of services) in the system, but shall not alter the original content of the invoice.</w:t>
      </w:r>
    </w:p>
    <w:p w14:paraId="2BFFA9C0"/>
    <w:p w14:paraId="307F09EA">
      <w:pPr>
        <w:spacing w:after="120" w:line="360" w:lineRule="auto"/>
        <w:ind w:firstLine="420"/>
      </w:pPr>
      <w:r>
        <w:rPr>
          <w:rFonts w:ascii="Calibri" w:hAnsi="Calibri" w:eastAsia="Calibri"/>
          <w:b w:val="0"/>
          <w:color w:val="2D3748"/>
          <w:sz w:val="21"/>
        </w:rPr>
        <w:t>This policy shall take effect on January 1, 2023, and is interpreted by the Finance Department of Apex International Events GmbH. In the event of any conflict with the German Commercial Code (HGB) or the Value Added Tax Act (UStG), the local laws and regulations shall prevail.</w:t>
      </w:r>
    </w:p>
    <w:p w14:paraId="48A9055C">
      <w:pPr>
        <w:spacing w:before="480"/>
        <w:jc w:val="right"/>
      </w:pPr>
      <w:r>
        <w:rPr>
          <w:rFonts w:ascii="Calibri" w:hAnsi="Calibri" w:eastAsia="Calibri"/>
          <w:b/>
          <w:color w:val="2D3748"/>
          <w:sz w:val="21"/>
        </w:rPr>
        <w:t>Apex International Events GmbH</w:t>
      </w:r>
      <w:r>
        <w:rPr>
          <w:rFonts w:ascii="Calibri" w:hAnsi="Calibri" w:eastAsia="Calibri"/>
          <w:b/>
          <w:color w:val="2D3748"/>
          <w:sz w:val="21"/>
        </w:rPr>
        <w:br w:type="textWrapping"/>
      </w:r>
      <w:r>
        <w:rPr>
          <w:rFonts w:ascii="Calibri" w:hAnsi="Calibri" w:eastAsia="Calibri"/>
          <w:b/>
          <w:color w:val="2D3748"/>
          <w:sz w:val="21"/>
        </w:rPr>
        <w:t>Finance &amp; Compliance Department</w:t>
      </w:r>
      <w:r>
        <w:rPr>
          <w:rFonts w:ascii="Calibri" w:hAnsi="Calibri" w:eastAsia="Calibri"/>
          <w:b/>
          <w:color w:val="2D3748"/>
          <w:sz w:val="21"/>
        </w:rPr>
        <w:br w:type="textWrapping"/>
      </w:r>
      <w:r>
        <w:rPr>
          <w:rFonts w:ascii="Calibri" w:hAnsi="Calibri" w:eastAsia="Calibri"/>
          <w:b/>
          <w:color w:val="2D3748"/>
          <w:sz w:val="21"/>
        </w:rPr>
        <w:t>January 1, 2023</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AF0B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1266</Words>
  <Characters>7874</Characters>
  <Lines>0</Lines>
  <Paragraphs>0</Paragraphs>
  <TotalTime>13</TotalTime>
  <ScaleCrop>false</ScaleCrop>
  <LinksUpToDate>false</LinksUpToDate>
  <CharactersWithSpaces>9106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张恩赐</cp:lastModifiedBy>
  <dcterms:modified xsi:type="dcterms:W3CDTF">2026-05-22T18:46:48Z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eyJoZGlkIjoiNjM2MDFmNDgxNzY5MjEzNDM4MzhiMzVhNzYwOTI1ODYiLCJ1c2VySWQiOiIxNjM5NDUwMjI1In0=</vt:lpwstr>
  </property>
  <property fmtid="{D5CDD505-2E9C-101B-9397-08002B2CF9AE}" pid="3" name="KSOProductBuildVer">
    <vt:lpwstr>2052-12.1.0.23542</vt:lpwstr>
  </property>
  <property fmtid="{D5CDD505-2E9C-101B-9397-08002B2CF9AE}" pid="4" name="ICV">
    <vt:lpwstr>660C08FD0F2A4A4A85879B60CE1BD1B8_12</vt:lpwstr>
  </property>
</Properties>
</file>