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b/>
          <w:sz w:val="32"/>
        </w:rPr>
        <w:t>Smith Corporation Event Expense Reimbursement Material Standards</w:t>
      </w:r>
    </w:p>
    <w:p>
      <w:pPr>
        <w:spacing w:after="240" w:line="360" w:lineRule="auto"/>
        <w:ind w:firstLine="720"/>
      </w:pPr>
      <w:r>
        <w:rPr>
          <w:rFonts w:ascii="Times New Roman" w:hAnsi="Times New Roman" w:eastAsia="Times New Roman"/>
          <w:sz w:val="22"/>
        </w:rPr>
        <w:t>To standardize the reimbursement management of various event expenses, ensure that expenditures are authentic, compliant, and traceable, these standards are hereby established. These standards apply to expense reimbursement matters arising from employee activities, team building, training sessions, and meetings organized by all departments. All reimbursement applications must strictly follow these standards to submit complete materials; otherwise, the Finance Department reserves the right to return or refuse the application.</w:t>
      </w:r>
    </w:p>
    <w:p>
      <w:pPr>
        <w:spacing w:after="120"/>
      </w:pPr>
      <w:r>
        <w:rPr>
          <w:rFonts w:ascii="Times New Roman" w:hAnsi="Times New Roman" w:eastAsia="Times New Roman"/>
          <w:b/>
          <w:sz w:val="24"/>
        </w:rPr>
        <w:t>I. Definition of Reimbursable Expenses</w:t>
      </w:r>
    </w:p>
    <w:p>
      <w:pPr>
        <w:spacing w:after="240" w:line="360" w:lineRule="auto"/>
        <w:ind w:firstLine="720"/>
      </w:pPr>
      <w:r>
        <w:rPr>
          <w:rFonts w:ascii="Times New Roman" w:hAnsi="Times New Roman" w:eastAsia="Times New Roman"/>
          <w:sz w:val="22"/>
        </w:rPr>
        <w:t>The event expenses referred to in these standards are direct expenditures incurred by departments in organizing internal activities, including but not limited to the following categories:</w:t>
        <w:br/>
      </w:r>
    </w:p>
    <w:p>
      <w:pPr>
        <w:spacing w:after="120" w:line="360" w:lineRule="auto"/>
        <w:ind w:firstLine="720"/>
      </w:pPr>
      <w:r>
        <w:rPr>
          <w:rFonts w:ascii="Times New Roman" w:hAnsi="Times New Roman" w:eastAsia="Times New Roman"/>
          <w:sz w:val="22"/>
        </w:rPr>
        <w:t>1. Venue and Stage Related Expenses: venue rental fees, stage construction fees, lighting and sound equipment leasing and debugging fees, on-site arrangement and dismantling fees, equipment transportation and handling fees;</w:t>
      </w:r>
    </w:p>
    <w:p>
      <w:pPr>
        <w:spacing w:after="120" w:line="360" w:lineRule="auto"/>
        <w:ind w:firstLine="720"/>
      </w:pPr>
      <w:r>
        <w:rPr>
          <w:rFonts w:ascii="Times New Roman" w:hAnsi="Times New Roman" w:eastAsia="Times New Roman"/>
          <w:sz w:val="22"/>
        </w:rPr>
        <w:t>2. Event Service Expenses: on-site photography and videography, hosting, etiquette, security, technical support, and other service fees;</w:t>
      </w:r>
    </w:p>
    <w:p>
      <w:pPr>
        <w:spacing w:after="120" w:line="360" w:lineRule="auto"/>
        <w:ind w:firstLine="720"/>
      </w:pPr>
      <w:r>
        <w:rPr>
          <w:rFonts w:ascii="Times New Roman" w:hAnsi="Times New Roman" w:eastAsia="Times New Roman"/>
          <w:sz w:val="22"/>
        </w:rPr>
        <w:t>3. Catering and Refreshment Expenses: working meals, refreshments, and drinking water during the event, which must be consistent with the event time and location;</w:t>
      </w:r>
    </w:p>
    <w:p>
      <w:pPr>
        <w:spacing w:after="120" w:line="360" w:lineRule="auto"/>
        <w:ind w:firstLine="720"/>
      </w:pPr>
      <w:r>
        <w:rPr>
          <w:rFonts w:ascii="Times New Roman" w:hAnsi="Times New Roman" w:eastAsia="Times New Roman"/>
          <w:sz w:val="22"/>
        </w:rPr>
        <w:t>4. Other Direct Expenses: material production fees, souvenir procurement fees, temporary office supplies procurement fees, and other expenses necessary for the event.</w:t>
      </w:r>
    </w:p>
    <w:p>
      <w:pPr>
        <w:spacing w:after="240" w:line="360" w:lineRule="auto"/>
        <w:ind w:firstLine="720"/>
      </w:pPr>
      <w:r>
        <w:rPr>
          <w:rFonts w:ascii="Times New Roman" w:hAnsi="Times New Roman" w:eastAsia="Times New Roman"/>
          <w:sz w:val="22"/>
        </w:rPr>
        <w:t>The above expenses must be necessary expenditures actually incurred for the event and consistent with the matters stated in the event notice and approval documents. Accommodation expenses include, in addition to hotel room charges, meal expenses incurred at the hotel, parking fees, internet service fees, etc., all of which are included in the total accommodation expenses for unified reimbursement.</w:t>
      </w:r>
    </w:p>
    <w:p>
      <w:pPr>
        <w:spacing w:before="120" w:after="120"/>
      </w:pPr>
      <w:r>
        <w:rPr>
          <w:rFonts w:ascii="Times New Roman" w:hAnsi="Times New Roman" w:eastAsia="Times New Roman"/>
          <w:b/>
          <w:sz w:val="24"/>
        </w:rPr>
        <w:t>II. Reimbursement Process</w:t>
      </w:r>
    </w:p>
    <w:p>
      <w:pPr>
        <w:spacing w:after="240" w:line="360" w:lineRule="auto"/>
        <w:ind w:firstLine="720"/>
      </w:pPr>
      <w:r>
        <w:rPr>
          <w:rFonts w:ascii="Times New Roman" w:hAnsi="Times New Roman" w:eastAsia="Times New Roman"/>
          <w:sz w:val="22"/>
        </w:rPr>
        <w:t>Event expense reimbursement shall follow the following process, and each stage must be completed within the specified time limit:</w:t>
        <w:br/>
      </w:r>
    </w:p>
    <w:p>
      <w:pPr>
        <w:spacing w:after="120" w:line="360" w:lineRule="auto"/>
        <w:ind w:firstLine="720"/>
      </w:pPr>
      <w:r>
        <w:rPr>
          <w:rFonts w:ascii="Times New Roman" w:hAnsi="Times New Roman" w:eastAsia="Times New Roman"/>
          <w:sz w:val="22"/>
        </w:rPr>
        <w:t>1. Submit Reimbursement Materials: The event person in charge must organize and submit complete reimbursement materials to the department head within 15 working days after the event. Materials include the event notice or approval documents, execution records, formal commercial invoices, and acceptance certificates;</w:t>
      </w:r>
    </w:p>
    <w:p>
      <w:pPr>
        <w:spacing w:after="120" w:line="360" w:lineRule="auto"/>
        <w:ind w:firstLine="720"/>
      </w:pPr>
      <w:r>
        <w:rPr>
          <w:rFonts w:ascii="Times New Roman" w:hAnsi="Times New Roman" w:eastAsia="Times New Roman"/>
          <w:sz w:val="22"/>
        </w:rPr>
        <w:t>2. Department Head Review: The department head conducts a preliminary review of the authenticity, necessity, and completeness of the reimbursement materials. Upon confirmation, the review opinion is signed and submitted to the Finance Department;</w:t>
      </w:r>
    </w:p>
    <w:p>
      <w:pPr>
        <w:spacing w:after="120" w:line="360" w:lineRule="auto"/>
        <w:ind w:firstLine="720"/>
      </w:pPr>
      <w:r>
        <w:rPr>
          <w:rFonts w:ascii="Times New Roman" w:hAnsi="Times New Roman" w:eastAsia="Times New Roman"/>
          <w:sz w:val="22"/>
        </w:rPr>
        <w:t>3. Finance Department Re-review: The Finance Department reviews the compliance of invoices, the accuracy of expense classification, and the completeness of materials. Supplementary explanations or corrected documents may be requested when necessary;</w:t>
      </w:r>
    </w:p>
    <w:p>
      <w:pPr>
        <w:spacing w:after="120" w:line="360" w:lineRule="auto"/>
        <w:ind w:firstLine="720"/>
      </w:pPr>
      <w:r>
        <w:rPr>
          <w:rFonts w:ascii="Times New Roman" w:hAnsi="Times New Roman" w:eastAsia="Times New Roman"/>
          <w:sz w:val="22"/>
        </w:rPr>
        <w:t>4. Reimbursement Payment: After passing the review, the Finance Department completes the reimbursement payment within 10 working days, directly remitting the funds to the designated account of the claimant.</w:t>
      </w:r>
    </w:p>
    <w:p>
      <w:pPr>
        <w:spacing w:before="120" w:after="120"/>
      </w:pPr>
      <w:r>
        <w:rPr>
          <w:rFonts w:ascii="Times New Roman" w:hAnsi="Times New Roman" w:eastAsia="Times New Roman"/>
          <w:b/>
          <w:sz w:val="24"/>
        </w:rPr>
        <w:t>III. Invoice Information Requirements</w:t>
      </w:r>
    </w:p>
    <w:p>
      <w:pPr>
        <w:spacing w:after="240" w:line="360" w:lineRule="auto"/>
        <w:ind w:firstLine="720"/>
      </w:pPr>
      <w:r>
        <w:rPr>
          <w:rFonts w:ascii="Times New Roman" w:hAnsi="Times New Roman" w:eastAsia="Times New Roman"/>
          <w:sz w:val="22"/>
        </w:rPr>
        <w:t>Reimbursement must be supported by formal commercial invoices or electronic invoices. Invoices must meet the following basic requirements: the invoice issuance date must be consistent with or within a reasonable range of the actual business occurrence date; the invoice must clearly indicate the city where the service provider is located; the invoice service content must be consistent with the actual business and reflect service categories such as stage construction, equipment leasing, and debugging. Specific service details, supplier names, unit prices, and amounts on the invoice shall be subject to the information stated on the invoice itself and shall not be fabricated or modified separately.</w:t>
      </w:r>
    </w:p>
    <w:p>
      <w:pPr>
        <w:spacing w:before="120" w:after="120"/>
      </w:pPr>
      <w:r>
        <w:rPr>
          <w:rFonts w:ascii="Times New Roman" w:hAnsi="Times New Roman" w:eastAsia="Times New Roman"/>
          <w:b/>
          <w:sz w:val="24"/>
        </w:rPr>
        <w:t>IV. Multi-person Reimbursement Requirements</w:t>
      </w:r>
    </w:p>
    <w:p>
      <w:pPr>
        <w:spacing w:after="240" w:line="360" w:lineRule="auto"/>
        <w:ind w:firstLine="720"/>
      </w:pPr>
      <w:r>
        <w:rPr>
          <w:rFonts w:ascii="Times New Roman" w:hAnsi="Times New Roman" w:eastAsia="Times New Roman"/>
          <w:sz w:val="22"/>
        </w:rPr>
        <w:t>For event expenses jointly incurred by multiple participants, the event person in principle shall handle reimbursement in a unified manner. Catering, accommodation, and other expenses may be calculated cumulatively based on the actual number of participants and reimbursed uniformly, but the scope of participants must be stated in the execution record or expense explanation. If multiple persons have respectively advanced different categories of expenses, each payer may submit a reimbursement application separately, provided that the total expenses are consistent with the event budget and actual expenditures, and duplicate reimbursement is avoided.</w:t>
      </w:r>
    </w:p>
    <w:p>
      <w:pPr>
        <w:spacing w:before="120" w:after="120"/>
      </w:pPr>
      <w:r>
        <w:rPr>
          <w:rFonts w:ascii="Times New Roman" w:hAnsi="Times New Roman" w:eastAsia="Times New Roman"/>
          <w:b/>
          <w:sz w:val="24"/>
        </w:rPr>
        <w:t>V. Authenticity Supporting Materials</w:t>
      </w:r>
    </w:p>
    <w:p>
      <w:pPr>
        <w:spacing w:after="240" w:line="360" w:lineRule="auto"/>
        <w:ind w:firstLine="720"/>
      </w:pPr>
      <w:r>
        <w:rPr>
          <w:rFonts w:ascii="Times New Roman" w:hAnsi="Times New Roman" w:eastAsia="Times New Roman"/>
          <w:sz w:val="22"/>
        </w:rPr>
        <w:t>Reimbursement applications must be accompanied by sufficient authenticity supporting materials to verify the genuine connection between the expenditure and the business activity. Supporting materials must be consistent with background documents and typically include: event notice or announcement, event plan and budget approval documents, execution records or work logs, on-site photos or sign-in records, and acceptance confirmation forms. The above materials must contain the city and date information of the event to mutually corroborate with the time and location stated on the invoice.</w:t>
      </w:r>
    </w:p>
    <w:p>
      <w:pPr>
        <w:spacing w:before="120" w:after="120"/>
      </w:pPr>
      <w:r>
        <w:rPr>
          <w:rFonts w:ascii="Times New Roman" w:hAnsi="Times New Roman" w:eastAsia="Times New Roman"/>
          <w:b/>
          <w:sz w:val="24"/>
        </w:rPr>
        <w:t>VI. Eligible Invoice Requirements</w:t>
      </w:r>
    </w:p>
    <w:p>
      <w:pPr>
        <w:spacing w:after="240" w:line="360" w:lineRule="auto"/>
        <w:ind w:firstLine="720"/>
      </w:pPr>
      <w:r>
        <w:rPr>
          <w:rFonts w:ascii="Times New Roman" w:hAnsi="Times New Roman" w:eastAsia="Times New Roman"/>
          <w:sz w:val="22"/>
        </w:rPr>
        <w:t>Eligible invoices must be machine-printed commercial invoices or electronic invoices recognized by the tax system. Handwritten invoices, receipts, informal notes, and internal transfer slips are not acceptable. Invoices must contain complete issuance information, including date, service content, and amount. Invoice content must be consistent with actual business and must not be falsely issued, issued on behalf of others, or altered in service content. For service expenditures such as stage construction, equipment leasing, and debugging, formal service invoices issued by the service provider must be obtained. Foreign currency invoices must be converted to the functional currency in accordance with company financial regulations when reported.</w:t>
      </w:r>
    </w:p>
    <w:p>
      <w:pPr>
        <w:spacing w:before="240" w:after="120"/>
      </w:pPr>
      <w:r>
        <w:rPr>
          <w:rFonts w:ascii="Times New Roman" w:hAnsi="Times New Roman" w:eastAsia="Times New Roman"/>
          <w:b/>
          <w:sz w:val="24"/>
        </w:rPr>
        <w:t>Supplementary Provisions</w:t>
      </w:r>
    </w:p>
    <w:p>
      <w:pPr>
        <w:spacing w:after="240" w:line="360" w:lineRule="auto"/>
        <w:ind w:firstLine="720"/>
      </w:pPr>
      <w:r>
        <w:rPr>
          <w:rFonts w:ascii="Times New Roman" w:hAnsi="Times New Roman" w:eastAsia="Times New Roman"/>
          <w:sz w:val="22"/>
        </w:rPr>
        <w:t>These standards are interpreted by the Finance Department of Smith Corporation and shall take effect from the date of issuance. All departments shall organize relevant personnel to study and implement them to ensure that event expense reimbursement work is standardized and orderly.</w:t>
      </w:r>
    </w:p>
    <w:p>
      <w:pPr>
        <w:spacing w:before="480"/>
        <w:jc w:val="right"/>
      </w:pPr>
      <w:r>
        <w:rPr>
          <w:rFonts w:ascii="Times New Roman" w:hAnsi="Times New Roman" w:eastAsia="Times New Roman"/>
          <w:sz w:val="22"/>
        </w:rPr>
        <w:t>Finance Department, Smith Corporation</w:t>
        <w:br/>
        <w:t>January 10,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