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88E1" w14:textId="77777777" w:rsidR="008E2060" w:rsidRDefault="00000000">
      <w:pPr>
        <w:pStyle w:val="aa"/>
        <w:jc w:val="center"/>
      </w:pPr>
      <w:r>
        <w:t>Venue and Equipment Rental Expense Reimbursement Policy</w:t>
      </w:r>
    </w:p>
    <w:p w14:paraId="57800C15" w14:textId="77777777" w:rsidR="008E2060" w:rsidRDefault="00000000">
      <w:pPr>
        <w:pStyle w:val="1"/>
      </w:pPr>
      <w:r>
        <w:t>Chapter I General Provisions</w:t>
      </w:r>
    </w:p>
    <w:p w14:paraId="665C747E" w14:textId="77777777" w:rsidR="008E2060" w:rsidRDefault="00000000">
      <w:r>
        <w:t>Article 1 This Policy is formulated to standardize the reimbursement management of venue rental, equipment leasing, and facility usage expenses incurred by employees for approved team building activities, training camps, outdoor expansion projects, and other off-site events, ensuring that all expenses are authentic, compliant, and traceable.</w:t>
      </w:r>
    </w:p>
    <w:p w14:paraId="03EDF113" w14:textId="77777777" w:rsidR="008E2060" w:rsidRDefault="00000000">
      <w:r>
        <w:t>Article 2 This Policy applies to all departments and regional offices of the Company for venue and equipment rental expenses arising from approved team building activities, training camps, and outdoor expansion projects.</w:t>
      </w:r>
    </w:p>
    <w:p w14:paraId="5A461D93" w14:textId="77777777" w:rsidR="008E2060" w:rsidRDefault="00000000">
      <w:pPr>
        <w:pStyle w:val="1"/>
      </w:pPr>
      <w:r>
        <w:t>Chapter II Definition of Reimbursable Expenses</w:t>
      </w:r>
    </w:p>
    <w:p w14:paraId="4EE968AB" w14:textId="77777777" w:rsidR="008E2060" w:rsidRDefault="00000000">
      <w:r>
        <w:t>Article 3 For the purposes of this Policy, reimbursable expenses include, but are not limited to, the following categories:</w:t>
      </w:r>
    </w:p>
    <w:p w14:paraId="6B6140E9" w14:textId="77777777" w:rsidR="008E2060" w:rsidRDefault="00000000">
      <w:pPr>
        <w:pStyle w:val="a"/>
      </w:pPr>
      <w:r>
        <w:t>1. Venue rental fees: charges for renting outdoor bases, training camps, or meeting venues for approved activities;</w:t>
      </w:r>
    </w:p>
    <w:p w14:paraId="0D040DDA" w14:textId="77777777" w:rsidR="008E2060" w:rsidRDefault="00000000">
      <w:pPr>
        <w:pStyle w:val="a"/>
      </w:pPr>
      <w:r>
        <w:t>2. Equipment rental fees: charges for leasing tents, folding tables and chairs, sunshade canopies, audio-visual equipment, and other auxiliary facilities required for the activity;</w:t>
      </w:r>
    </w:p>
    <w:p w14:paraId="6F942A8D" w14:textId="77777777" w:rsidR="008E2060" w:rsidRDefault="00000000">
      <w:pPr>
        <w:pStyle w:val="a"/>
      </w:pPr>
      <w:r>
        <w:t>3. Facility service fees: charges for water, electricity, security, and cleaning services provided by the venue;</w:t>
      </w:r>
    </w:p>
    <w:p w14:paraId="22315291" w14:textId="77777777" w:rsidR="008E2060" w:rsidRDefault="00000000">
      <w:pPr>
        <w:pStyle w:val="a"/>
      </w:pPr>
      <w:r>
        <w:t>4. Setup and dismantling fees: labour charges for equipment installation and removal;</w:t>
      </w:r>
    </w:p>
    <w:p w14:paraId="59395B84" w14:textId="77777777" w:rsidR="008E2060" w:rsidRDefault="00000000">
      <w:pPr>
        <w:pStyle w:val="a"/>
      </w:pPr>
      <w:r>
        <w:t>5. Transportation of equipment fees: logistics costs for delivering rented equipment to and from the activity site.</w:t>
      </w:r>
    </w:p>
    <w:p w14:paraId="0878C4CD" w14:textId="77777777" w:rsidR="008E2060" w:rsidRDefault="00000000">
      <w:r>
        <w:t>All of the above expenses shall be aggregated into the total activity cost for the current event and submitted for reimbursement together.</w:t>
      </w:r>
    </w:p>
    <w:p w14:paraId="1C22AAE4" w14:textId="77777777" w:rsidR="008E2060" w:rsidRDefault="00000000">
      <w:pPr>
        <w:pStyle w:val="1"/>
      </w:pPr>
      <w:r>
        <w:t>Chapter III Reimbursement Workflow</w:t>
      </w:r>
    </w:p>
    <w:p w14:paraId="7902AC10" w14:textId="77777777" w:rsidR="008E2060" w:rsidRDefault="00000000">
      <w:r>
        <w:t>Article 4 The Company's expense reimbursement workflow is as follows:</w:t>
      </w:r>
    </w:p>
    <w:p w14:paraId="768FEDB3" w14:textId="77777777" w:rsidR="008E2060" w:rsidRDefault="00000000">
      <w:pPr>
        <w:pStyle w:val="a"/>
      </w:pPr>
      <w:r>
        <w:t>1. Submission of reimbursement materials: the activity coordinator collates the activity approval form, rental contracts or invoices, equipment handover records, and submits them to the department head;</w:t>
      </w:r>
    </w:p>
    <w:p w14:paraId="0A9EF107" w14:textId="77777777" w:rsidR="008E2060" w:rsidRDefault="00000000">
      <w:pPr>
        <w:pStyle w:val="a"/>
      </w:pPr>
      <w:r>
        <w:t>2. Department head review: verify the consistency between the rental purpose and activity needs, the completeness of documentation, and the authenticity of the transaction;</w:t>
      </w:r>
    </w:p>
    <w:p w14:paraId="0E915CE8" w14:textId="77777777" w:rsidR="008E2060" w:rsidRDefault="00000000">
      <w:pPr>
        <w:pStyle w:val="a"/>
      </w:pPr>
      <w:r>
        <w:lastRenderedPageBreak/>
        <w:t>3. Finance department review: finance personnel review invoice compliance, tax validity, and the completeness of the approval workflow;</w:t>
      </w:r>
    </w:p>
    <w:p w14:paraId="79A5EF11" w14:textId="77777777" w:rsidR="008E2060" w:rsidRDefault="00000000">
      <w:pPr>
        <w:pStyle w:val="a"/>
      </w:pPr>
      <w:r>
        <w:t>4. Reimbursement payment: upon successful review, the finance department completes payment within the agreed cycle.</w:t>
      </w:r>
    </w:p>
    <w:p w14:paraId="6DD1679E" w14:textId="77777777" w:rsidR="008E2060" w:rsidRDefault="00000000">
      <w:pPr>
        <w:pStyle w:val="1"/>
      </w:pPr>
      <w:r>
        <w:t>Chapter IV Invoice Requirements</w:t>
      </w:r>
    </w:p>
    <w:p w14:paraId="15810FC3" w14:textId="77777777" w:rsidR="008E2060" w:rsidRDefault="00000000">
      <w:r>
        <w:t>Article 5 Invoices attached for reimbursement must be genuine, lawful, and valid. Electronic invoices issued through the national tax system are fully acceptable provided they contain complete tax authority supervision information. Background documents shall only extract the date and city-level location information shown on the receipt, to verify consistency with the activity schedule and location.</w:t>
      </w:r>
    </w:p>
    <w:p w14:paraId="13466CF5" w14:textId="77777777" w:rsidR="008E2060" w:rsidRDefault="00000000">
      <w:r>
        <w:t>Article 6 Detailed equipment specifications, quantities, and rental periods shown on the invoice shall be represented solely by the invoice itself and shall not be restated or substituted in background documents.</w:t>
      </w:r>
    </w:p>
    <w:p w14:paraId="0FCEA090" w14:textId="77777777" w:rsidR="008E2060" w:rsidRDefault="00000000">
      <w:pPr>
        <w:pStyle w:val="1"/>
      </w:pPr>
      <w:r>
        <w:t>Chapter V Acceptable Invoice Types</w:t>
      </w:r>
    </w:p>
    <w:p w14:paraId="04F27893" w14:textId="77777777" w:rsidR="008E2060" w:rsidRDefault="00000000">
      <w:r>
        <w:t>Article 7 The Company accepts the following types of reimbursable invoices:</w:t>
      </w:r>
    </w:p>
    <w:p w14:paraId="65086515" w14:textId="77777777" w:rsidR="008E2060" w:rsidRDefault="00000000">
      <w:pPr>
        <w:pStyle w:val="a"/>
      </w:pPr>
      <w:r>
        <w:t>1. Value-added tax (VAT) ordinary invoices or special invoices issued by tax authorities;</w:t>
      </w:r>
    </w:p>
    <w:p w14:paraId="0E1AD3FD" w14:textId="013E55D1" w:rsidR="008E2060" w:rsidRDefault="00000000">
      <w:pPr>
        <w:pStyle w:val="a"/>
      </w:pPr>
      <w:r>
        <w:t>2. Electronic invoices (</w:t>
      </w:r>
      <w:r w:rsidR="00254698" w:rsidRPr="00254698">
        <w:t>regular invoice</w:t>
      </w:r>
      <w:r>
        <w:t>) generated through the national electronic invoice service platform, with valid invoice codes and numbers;</w:t>
      </w:r>
    </w:p>
    <w:p w14:paraId="36433FF7" w14:textId="77777777" w:rsidR="008E2060" w:rsidRDefault="00000000">
      <w:pPr>
        <w:pStyle w:val="a"/>
      </w:pPr>
      <w:r>
        <w:t>3. Formal rental contracts with attached payment vouchers;</w:t>
      </w:r>
    </w:p>
    <w:p w14:paraId="4CF9C344" w14:textId="77777777" w:rsidR="008E2060" w:rsidRDefault="00000000">
      <w:pPr>
        <w:pStyle w:val="a"/>
      </w:pPr>
      <w:r>
        <w:t>4. Itemised receipts issued by approved equipment rental vendors.</w:t>
      </w:r>
    </w:p>
    <w:p w14:paraId="24C4EE0F" w14:textId="77777777" w:rsidR="008E2060" w:rsidRDefault="00000000">
      <w:r>
        <w:t>Article 8 The following invoices shall not be reimbursed:</w:t>
      </w:r>
    </w:p>
    <w:p w14:paraId="31ED6D92" w14:textId="77777777" w:rsidR="008E2060" w:rsidRDefault="00000000">
      <w:pPr>
        <w:pStyle w:val="a"/>
      </w:pPr>
      <w:r>
        <w:t>1. Handwritten receipts or informal slips without tax authority supervision stamps;</w:t>
      </w:r>
    </w:p>
    <w:p w14:paraId="7C9155BF" w14:textId="77777777" w:rsidR="008E2060" w:rsidRDefault="00000000">
      <w:pPr>
        <w:pStyle w:val="a"/>
      </w:pPr>
      <w:r>
        <w:t>2. Invoices whose information is manifestly inconsistent with the approved activity;</w:t>
      </w:r>
    </w:p>
    <w:p w14:paraId="6E938D2D" w14:textId="77777777" w:rsidR="008E2060" w:rsidRDefault="00000000">
      <w:pPr>
        <w:pStyle w:val="a"/>
      </w:pPr>
      <w:r>
        <w:t>3. Altered, forged, or duplicated invoices;</w:t>
      </w:r>
    </w:p>
    <w:p w14:paraId="2D9BDCE0" w14:textId="77777777" w:rsidR="008E2060" w:rsidRDefault="00000000">
      <w:pPr>
        <w:pStyle w:val="a"/>
      </w:pPr>
      <w:r>
        <w:t>4. Invoices for personal entertainment or non-business equipment.</w:t>
      </w:r>
    </w:p>
    <w:p w14:paraId="4F755C02" w14:textId="77777777" w:rsidR="008E2060" w:rsidRDefault="00000000">
      <w:pPr>
        <w:pStyle w:val="1"/>
      </w:pPr>
      <w:r>
        <w:t>Chapter VI Authenticity Supporting Documents</w:t>
      </w:r>
    </w:p>
    <w:p w14:paraId="6457A260" w14:textId="77777777" w:rsidR="008E2060" w:rsidRDefault="00000000">
      <w:r>
        <w:t>Article 9 Authenticity supporting documents for expense reimbursement shall be consistent with background materials, including but not limited to:</w:t>
      </w:r>
    </w:p>
    <w:p w14:paraId="10FD1B10" w14:textId="77777777" w:rsidR="008E2060" w:rsidRDefault="00000000">
      <w:pPr>
        <w:pStyle w:val="a"/>
      </w:pPr>
      <w:r>
        <w:t>1. Activity application and approval documents;</w:t>
      </w:r>
    </w:p>
    <w:p w14:paraId="5903F4A6" w14:textId="77777777" w:rsidR="008E2060" w:rsidRDefault="00000000">
      <w:pPr>
        <w:pStyle w:val="a"/>
      </w:pPr>
      <w:r>
        <w:t>2. Team building activity notice or plan;</w:t>
      </w:r>
    </w:p>
    <w:p w14:paraId="07CD7B38" w14:textId="77777777" w:rsidR="008E2060" w:rsidRDefault="00000000">
      <w:pPr>
        <w:pStyle w:val="a"/>
      </w:pPr>
      <w:r>
        <w:t>3. Equipment rental request form;</w:t>
      </w:r>
    </w:p>
    <w:p w14:paraId="70FCD0EF" w14:textId="77777777" w:rsidR="008E2060" w:rsidRDefault="00000000">
      <w:pPr>
        <w:pStyle w:val="a"/>
      </w:pPr>
      <w:r>
        <w:t>4. Itinerary, activity schedule, and participant list;</w:t>
      </w:r>
    </w:p>
    <w:p w14:paraId="2DE84681" w14:textId="77777777" w:rsidR="008E2060" w:rsidRDefault="00000000">
      <w:pPr>
        <w:pStyle w:val="a"/>
      </w:pPr>
      <w:r>
        <w:t>5. Equipment handover and return confirmation records.</w:t>
      </w:r>
    </w:p>
    <w:p w14:paraId="42E58912" w14:textId="77777777" w:rsidR="008E2060" w:rsidRDefault="00000000">
      <w:r>
        <w:lastRenderedPageBreak/>
        <w:t>The above documents have been included as background files and require no additional supplementation.</w:t>
      </w:r>
    </w:p>
    <w:p w14:paraId="7AC858F1" w14:textId="77777777" w:rsidR="008E2060" w:rsidRDefault="00000000">
      <w:pPr>
        <w:pStyle w:val="1"/>
      </w:pPr>
      <w:r>
        <w:t>Chapter VII Supplementary Provisions</w:t>
      </w:r>
    </w:p>
    <w:p w14:paraId="73091AD8" w14:textId="77777777" w:rsidR="008E2060" w:rsidRDefault="00000000">
      <w:r>
        <w:t>Article 10 This Policy shall take effect from the date of issuance and shall be interpreted by the Finance Department.</w:t>
      </w:r>
    </w:p>
    <w:p w14:paraId="3F57D611" w14:textId="77777777" w:rsidR="008E2060" w:rsidRDefault="00000000">
      <w:r>
        <w:t>Article 11 Regional offices may formulate supplementary rules in accordance with local laws and commercial customs, provided that such rules do not contravene the principles of this Policy.</w:t>
      </w:r>
    </w:p>
    <w:p w14:paraId="27BC1EEC" w14:textId="77777777" w:rsidR="008E2060" w:rsidRDefault="008E2060"/>
    <w:p w14:paraId="76FB07EB" w14:textId="77777777" w:rsidR="008E2060" w:rsidRDefault="00000000">
      <w:r>
        <w:t>Issuing Department: Group Finance Department</w:t>
      </w:r>
    </w:p>
    <w:p w14:paraId="176BA774" w14:textId="77777777" w:rsidR="008E2060" w:rsidRDefault="00000000">
      <w:r>
        <w:t>Issue Date: 10 January 2026</w:t>
      </w:r>
    </w:p>
    <w:p w14:paraId="1803C1F8" w14:textId="77777777" w:rsidR="008E2060" w:rsidRDefault="00000000">
      <w:r>
        <w:t>Version: V1.5</w:t>
      </w:r>
    </w:p>
    <w:sectPr w:rsidR="008E20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245888">
    <w:abstractNumId w:val="8"/>
  </w:num>
  <w:num w:numId="2" w16cid:durableId="1137409096">
    <w:abstractNumId w:val="6"/>
  </w:num>
  <w:num w:numId="3" w16cid:durableId="8916876">
    <w:abstractNumId w:val="5"/>
  </w:num>
  <w:num w:numId="4" w16cid:durableId="2068019900">
    <w:abstractNumId w:val="4"/>
  </w:num>
  <w:num w:numId="5" w16cid:durableId="1546796043">
    <w:abstractNumId w:val="7"/>
  </w:num>
  <w:num w:numId="6" w16cid:durableId="1673486878">
    <w:abstractNumId w:val="3"/>
  </w:num>
  <w:num w:numId="7" w16cid:durableId="146629291">
    <w:abstractNumId w:val="2"/>
  </w:num>
  <w:num w:numId="8" w16cid:durableId="557516047">
    <w:abstractNumId w:val="1"/>
  </w:num>
  <w:num w:numId="9" w16cid:durableId="138347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698"/>
    <w:rsid w:val="0029639D"/>
    <w:rsid w:val="00326F90"/>
    <w:rsid w:val="008E2060"/>
    <w:rsid w:val="00A334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3AE192"/>
  <w14:defaultImageDpi w14:val="300"/>
  <w15:docId w15:val="{AF6A8D21-8780-4722-BE2B-5FF61FBF5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670</Words>
  <Characters>4054</Characters>
  <Application>Microsoft Office Word</Application>
  <DocSecurity>0</DocSecurity>
  <Lines>76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响 李</cp:lastModifiedBy>
  <cp:revision>2</cp:revision>
  <dcterms:created xsi:type="dcterms:W3CDTF">2013-12-23T23:15:00Z</dcterms:created>
  <dcterms:modified xsi:type="dcterms:W3CDTF">2026-05-12T08:18:00Z</dcterms:modified>
  <cp:category/>
</cp:coreProperties>
</file>