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2E3F"/>
          <w:sz w:val="44"/>
        </w:rPr>
        <w:t>ROA Paraplanner — Standard Operating Procedure</w:t>
      </w:r>
    </w:p>
    <w:p>
      <w:r>
        <w:rPr>
          <w:color w:val="666666"/>
          <w:sz w:val="20"/>
        </w:rPr>
        <w:t>My Wealth Solutions · Tool build v7.b_20 · SOP version 1.0 · July 2026</w:t>
      </w:r>
    </w:p>
    <w:p>
      <w:pPr>
        <w:pStyle w:val="Heading1"/>
      </w:pPr>
      <w:r>
        <w:rPr>
          <w:color w:val="0C2E3F"/>
        </w:rPr>
        <w:t>Part A — Common workflow (every ROA type)</w:t>
      </w:r>
    </w:p>
    <w:p>
      <w:pPr>
        <w:pStyle w:val="Heading2"/>
      </w:pPr>
      <w:r>
        <w:rPr>
          <w:color w:val="0D6BE0"/>
        </w:rPr>
        <w:t>A1. Opening the tool and staying on the same version</w:t>
      </w:r>
    </w:p>
    <w:p>
      <w:pPr>
        <w:pStyle w:val="ListBullet"/>
      </w:pPr>
      <w:r>
        <w:t>The tool is a single HTML file. Save it locally and open it in a normal browser tab (Chrome/Edge recommended). Do not run it from a preview pane inside another app — file-picker dialogs will not open there.</w:t>
      </w:r>
    </w:p>
    <w:p>
      <w:pPr>
        <w:pStyle w:val="ListBullet"/>
      </w:pPr>
      <w:r>
        <w:t>The build version shows in the top bar (e.g. v7.b_20). Everyone on the team must run the SAME build — if two people's drafts differ, compare this stamp first.</w:t>
      </w:r>
    </w:p>
    <w:p>
      <w:pPr>
        <w:pStyle w:val="ListBullet"/>
      </w:pPr>
      <w:r>
        <w:t>The tool needs an internet connection the first time it loads (fonts and the Word/PDF readers load from the internet). Scanned/image documents also need a connection for OCR.</w:t>
      </w:r>
    </w:p>
    <w:p>
      <w:pPr>
        <w:pStyle w:val="Heading2"/>
      </w:pPr>
      <w:r>
        <w:rPr>
          <w:color w:val="0D6BE0"/>
        </w:rPr>
        <w:t>A2. Starting, saving and recovering work</w:t>
      </w:r>
    </w:p>
    <w:p>
      <w:pPr>
        <w:pStyle w:val="ListBullet"/>
      </w:pPr>
      <w:r>
        <w:t>Start a new ROA with the red ♻ Reset button (top right). It always asks before clearing anything.</w:t>
      </w:r>
    </w:p>
    <w:p>
      <w:pPr>
        <w:pStyle w:val="ListBullet"/>
      </w:pPr>
      <w:r>
        <w:t>Your work auto-saves to the browser moments after every change. If the tab is closed, reopening the tool offers the draft back — choose Restore to continue or Cancel to start fresh.</w:t>
      </w:r>
    </w:p>
    <w:p>
      <w:pPr>
        <w:pStyle w:val="ListBullet"/>
      </w:pPr>
      <w:r>
        <w:t>Closing the tab with unsaved work triggers a browser warning.</w:t>
      </w:r>
    </w:p>
    <w:p>
      <w:pPr>
        <w:pStyle w:val="ListBullet"/>
      </w:pPr>
      <w:r>
        <w:t>Undo / redo: ↶ ↷ buttons in the top bar, or Ctrl/⌘+Z and Ctrl+Y (⌘+Shift+Z). Typing inside a field keeps the normal text-editing undo.</w:t>
      </w:r>
    </w:p>
    <w:p>
      <w:pPr>
        <w:pStyle w:val="ListBullet"/>
      </w:pPr>
      <w:r>
        <w:t>To keep a permanent copy: 💾 Save copy (a full HTML file with your work embedded — reopen it anywhere), or Save (JSON) on the Preview page (a small data file you can Load later).</w:t>
      </w:r>
    </w:p>
    <w:p>
      <w:pPr>
        <w:pStyle w:val="Heading2"/>
      </w:pPr>
      <w:r>
        <w:rPr>
          <w:color w:val="0D6BE0"/>
        </w:rPr>
        <w:t>A3. Step 1 — Scenarios page</w:t>
      </w:r>
    </w:p>
    <w:p>
      <w:pPr>
        <w:ind w:left="360"/>
      </w:pPr>
      <w:r>
        <w:t>1. Choose the document type tab: ROA Generator (this SOP), Strategy Paper, or NAA.</w:t>
      </w:r>
    </w:p>
    <w:p>
      <w:pPr>
        <w:ind w:left="360"/>
      </w:pPr>
      <w:r>
        <w:t>2. Tick every scenario the advice covers. Scenarios are grouped by category: Superannuation, Pension, Investment, Insurance, Cashflow &amp; Debt. Use the search box (e.g. "rollover", "income protection") to find one quickly.</w:t>
      </w:r>
    </w:p>
    <w:p>
      <w:pPr>
        <w:ind w:left="360"/>
      </w:pPr>
      <w:r>
        <w:t>3. Selected scenarios appear as chips at the top — use the ◀ ▶ arrows to set their order (this drives the order of wording in the document) and × to remove one.</w:t>
      </w:r>
    </w:p>
    <w:p>
      <w:pPr>
        <w:ind w:left="360"/>
      </w:pPr>
      <w:r>
        <w:t>4. Press 2 · Build in the top bar (or the Start button) once everything is selected. You can return and add/remove scenarios at any time — the builder keeps your work.</w:t>
      </w:r>
    </w:p>
    <w:p>
      <w:pPr>
        <w:ind w:left="360"/>
      </w:pPr>
      <w:r>
        <w:rPr>
          <w:i/>
          <w:color w:val="4A4A4A"/>
          <w:sz w:val="19"/>
        </w:rPr>
        <w:t>Note: The scenario selection decides which sections, tables and wording appear everywhere else. If a table you expect is missing (e.g. no insurance tables), the right scenario has not been selected.</w:t>
      </w:r>
    </w:p>
    <w:p>
      <w:pPr>
        <w:pStyle w:val="Heading2"/>
      </w:pPr>
      <w:r>
        <w:rPr>
          <w:color w:val="0D6BE0"/>
        </w:rPr>
        <w:t>A4. Step 2 — Builder: wizard and all-sections views</w:t>
      </w:r>
    </w:p>
    <w:p>
      <w:pPr>
        <w:pStyle w:val="ListBullet"/>
      </w:pPr>
      <w:r>
        <w:t>The builder opens in the Wizard view: steps listed down the left, one section at a time in the middle, and a live preview of the actual document on the right.</w:t>
      </w:r>
    </w:p>
    <w:p>
      <w:pPr>
        <w:pStyle w:val="ListBullet"/>
      </w:pPr>
      <w:r>
        <w:t>Step ticks: green ✓ = complete, orange ! = something needs attention (hover for the reason; the yellow banner on the step says exactly what, e.g. "Client 2 name is blank"), number = not started, – = hidden from the output.</w:t>
      </w:r>
    </w:p>
    <w:p>
      <w:pPr>
        <w:pStyle w:val="ListBullet"/>
      </w:pPr>
      <w:r>
        <w:t>Back / Next buttons sit at the bottom; the last step finishes into the Preview page. Click any step in the left list to jump straight to it.</w:t>
      </w:r>
    </w:p>
    <w:p>
      <w:pPr>
        <w:pStyle w:val="ListBullet"/>
      </w:pPr>
      <w:r>
        <w:t>The live preview updates as you type and scrolls to the part of the document the current step edits. Hide it with 🙈 Hide preview (left panel) or ✕ on the panel; ⛶ Full opens the full-size preview page.</w:t>
      </w:r>
    </w:p>
    <w:p>
      <w:pPr>
        <w:pStyle w:val="ListBullet"/>
      </w:pPr>
      <w:r>
        <w:t>Prefer one long page? ⊞ All sections (top right of the builder) shows every section stacked with a sidebar; 🧭 Wizard view switches back. The choice is remembered on your device.</w:t>
      </w:r>
    </w:p>
    <w:p>
      <w:pPr>
        <w:pStyle w:val="ListBullet"/>
      </w:pPr>
      <w:r>
        <w:t>Any section with an ✕ button can be excluded from the output (it stays editable and can be re-included).</w:t>
      </w:r>
    </w:p>
    <w:p>
      <w:pPr>
        <w:pStyle w:val="Heading2"/>
      </w:pPr>
      <w:r>
        <w:rPr>
          <w:color w:val="0D6BE0"/>
        </w:rPr>
        <w:t>A5. Wizard steps common to every ROA</w:t>
      </w:r>
    </w:p>
    <w:p>
      <w:pPr>
        <w:pStyle w:val="Heading3"/>
      </w:pPr>
      <w:r>
        <w:rPr>
          <w:color w:val="0C2E3F"/>
        </w:rPr>
        <w:t>Step — Client &amp; Adviser Details</w:t>
      </w:r>
    </w:p>
    <w:p>
      <w:pPr>
        <w:pStyle w:val="ListBullet"/>
      </w:pPr>
      <w:r>
        <w:t>Client type: Single, Joint (Couple), Individual + Entity, or Joint + Entity. Joint enables Client 2 fields and drives joint wording ("R &amp; J, we recommend…").</w:t>
      </w:r>
    </w:p>
    <w:p>
      <w:pPr>
        <w:pStyle w:val="ListBullet"/>
      </w:pPr>
      <w:r>
        <w:t>Enter the client name(s) FIRST, before importing documents — the importers use the names to route and filter (see A7).</w:t>
      </w:r>
    </w:p>
    <w:p>
      <w:pPr>
        <w:pStyle w:val="ListBullet"/>
      </w:pPr>
      <w:r>
        <w:t>Client marginal tax rate (optional): used only to estimate the after-tax cost of personally-funded IP.</w:t>
      </w:r>
    </w:p>
    <w:p>
      <w:pPr>
        <w:pStyle w:val="ListBullet"/>
      </w:pPr>
      <w:r>
        <w:t>Adviser: start typing to search the adviser list (set up in Admin). Phone/email/address fill from the roster.</w:t>
      </w:r>
    </w:p>
    <w:p>
      <w:pPr>
        <w:pStyle w:val="Heading3"/>
      </w:pPr>
      <w:r>
        <w:rPr>
          <w:color w:val="0C2E3F"/>
        </w:rPr>
        <w:t>Step — Type of ROA &amp; Prior Advice</w:t>
      </w:r>
    </w:p>
    <w:p>
      <w:pPr>
        <w:pStyle w:val="ListBullet"/>
      </w:pPr>
      <w:r>
        <w:t>ROA date: drives the cover page and the export file name.</w:t>
      </w:r>
    </w:p>
    <w:p>
      <w:pPr>
        <w:pStyle w:val="ListBullet"/>
      </w:pPr>
      <w:r>
        <w:t>Each selected scenario gets a toggle: Additional Advice vs Amendment of SoA — set per scenario; the cover-page table lists one row per scenario.</w:t>
      </w:r>
    </w:p>
    <w:p>
      <w:pPr>
        <w:pStyle w:val="ListBullet"/>
      </w:pPr>
      <w:r>
        <w:t>Prior advice documents (type + date) are listed here; they print in Section 1. Use the Exclude from output button if Section 1 should not print.</w:t>
      </w:r>
    </w:p>
    <w:p>
      <w:pPr>
        <w:pStyle w:val="Heading3"/>
      </w:pPr>
      <w:r>
        <w:rPr>
          <w:color w:val="0C2E3F"/>
        </w:rPr>
        <w:t>Step — What You Want To Achieve (Section 2)</w:t>
      </w:r>
    </w:p>
    <w:p>
      <w:pPr>
        <w:pStyle w:val="ListBullet"/>
      </w:pPr>
      <w:r>
        <w:t>The objectives narrative is generated from the selected scenarios, with connectors between them. Edit it freely — your edits stick (see A6). ↻ Regenerate rebuilds it from scratch.</w:t>
      </w:r>
    </w:p>
    <w:p>
      <w:pPr>
        <w:pStyle w:val="ListBullet"/>
      </w:pPr>
      <w:r>
        <w:t>Replace any [Amount]-style placeholders with the real figures — the step tick warns while placeholders remain.</w:t>
      </w:r>
    </w:p>
    <w:p>
      <w:pPr>
        <w:pStyle w:val="Heading3"/>
      </w:pPr>
      <w:r>
        <w:rPr>
          <w:color w:val="0C2E3F"/>
        </w:rPr>
        <w:t>Step — Custom Sections, Fees, Acknowledgement</w:t>
      </w:r>
    </w:p>
    <w:p>
      <w:pPr>
        <w:pStyle w:val="ListBullet"/>
      </w:pPr>
      <w:r>
        <w:t>Custom sections: add free-form sections (text / bullets / two-column tables) that print after the projection.</w:t>
      </w:r>
    </w:p>
    <w:p>
      <w:pPr>
        <w:pStyle w:val="ListBullet"/>
      </w:pPr>
      <w:r>
        <w:t>Fees: default is "no changes to our ongoing service fees". If fees change (e.g. insurance commissions), switch the toggle and complete the commission details.</w:t>
      </w:r>
    </w:p>
    <w:p>
      <w:pPr>
        <w:pStyle w:val="ListBullet"/>
      </w:pPr>
      <w:r>
        <w:t>Acknowledgement: standard signing section — normally untouched.</w:t>
      </w:r>
    </w:p>
    <w:p>
      <w:pPr>
        <w:pStyle w:val="Heading2"/>
      </w:pPr>
      <w:r>
        <w:rPr>
          <w:color w:val="0D6BE0"/>
        </w:rPr>
        <w:t>A6. How the generated wording behaves (important)</w:t>
      </w:r>
    </w:p>
    <w:p>
      <w:pPr>
        <w:pStyle w:val="ListBullet"/>
      </w:pPr>
      <w:r>
        <w:t>Recommendations, objectives, benefits and risks are GENERATED from the scenario library, then become yours to edit.</w:t>
      </w:r>
    </w:p>
    <w:p>
      <w:pPr>
        <w:pStyle w:val="ListBullet"/>
      </w:pPr>
      <w:r>
        <w:t>Edits are safe: changing a client name, adding a scenario or importing a document no longer wipes your edited wording — only buckets you have NOT touched regenerate.</w:t>
      </w:r>
    </w:p>
    <w:p>
      <w:pPr>
        <w:pStyle w:val="ListBullet"/>
      </w:pPr>
      <w:r>
        <w:t>The ↻ Regenerate buttons are the explicit way to throw away edits in that area and rebuild from the library.</w:t>
      </w:r>
    </w:p>
    <w:p>
      <w:pPr>
        <w:pStyle w:val="ListBullet"/>
      </w:pPr>
      <w:r>
        <w:t>Firm-wide default wording is edited in ⚙ Admin (see Part E) — not per ROA.</w:t>
      </w:r>
    </w:p>
    <w:p>
      <w:pPr>
        <w:pStyle w:val="Heading2"/>
      </w:pPr>
      <w:r>
        <w:rPr>
          <w:color w:val="0D6BE0"/>
        </w:rPr>
        <w:t>A7. Smart Import — one drop zone for every document</w:t>
      </w:r>
    </w:p>
    <w:p>
      <w:pPr>
        <w:pStyle w:val="ListBullet"/>
      </w:pPr>
      <w:r>
        <w:t>Where: the dashed "Smart import" zone in Section 3 (My Advice). Drop one or many files, or click Choose files…</w:t>
      </w:r>
    </w:p>
    <w:p>
      <w:pPr>
        <w:pStyle w:val="ListBullet"/>
      </w:pPr>
      <w:r>
        <w:t>Each file is identified automatically and routed to the right importer. You are shown the routing and asked to confirm before anything is applied.</w:t>
      </w:r>
    </w:p>
    <w:p>
      <w:pPr>
        <w:pStyle w:val="ListBullet"/>
      </w:pPr>
      <w:r>
        <w:t>Accepted: CARE/Hub24 rebalance doc (.docx), WealthSolver comparison (.docx), CDM benefits report, insurance schedules, insurer quotes and alteration quotes (PDF), prior SOA/ROA (.docx), screenshots of the firm's cover table (PNG/JPG — OCR), saved ROA .json, saved tool .html.</w:t>
      </w:r>
    </w:p>
    <w:p>
      <w:pPr>
        <w:pStyle w:val="ListBullet"/>
      </w:pPr>
      <w:r>
        <w:t>Client filtering: on a single-client ROA, a joint document (CARE doc, CDM report, quote) offers to import ONLY that client's accounts/covers — matched by name or initial ("R Super" matches Robert). Joint and entity accounts always stay.</w:t>
      </w:r>
    </w:p>
    <w:p>
      <w:pPr>
        <w:pStyle w:val="ListBullet"/>
      </w:pPr>
      <w:r>
        <w:t>Partners: importing a second quote whose life insured is a different person APPENDS under the existing rows automatically — drop both partners' quotes one after the other.</w:t>
      </w:r>
    </w:p>
    <w:p>
      <w:pPr>
        <w:pStyle w:val="ListBullet"/>
      </w:pPr>
      <w:r>
        <w:t>Every import ends with a confirmation summary; nothing is applied silently, and every value stays editable afterwards.</w:t>
      </w:r>
    </w:p>
    <w:p>
      <w:pPr>
        <w:pStyle w:val="Heading2"/>
      </w:pPr>
      <w:r>
        <w:rPr>
          <w:color w:val="0D6BE0"/>
        </w:rPr>
        <w:t>A8. Preview and export</w:t>
      </w:r>
    </w:p>
    <w:p>
      <w:pPr>
        <w:pStyle w:val="ListBullet"/>
      </w:pPr>
      <w:r>
        <w:t>Preview (step 3) shows the document exactly as it will print. Use ← Back to Builder to keep editing.</w:t>
      </w:r>
    </w:p>
    <w:p>
      <w:pPr>
        <w:pStyle w:val="ListBullet"/>
      </w:pPr>
      <w:r>
        <w:t>📄 Export to Word produces the .docx, named to the firm convention automatically (dates AEST, from the ROA date):</w:t>
      </w:r>
    </w:p>
    <w:p>
      <w:pPr>
        <w:ind w:left="360"/>
      </w:pPr>
      <w:r>
        <w:rPr>
          <w:i/>
          <w:color w:val="4A4A4A"/>
          <w:sz w:val="19"/>
        </w:rPr>
        <w:t>Note: YYMMDD;Surname;Initials;Type-ROA;DDMMYY — e.g. 260713;Sharp;E;Insurance-ROA;130726 · 260713;Smith;A&amp;C;Super&amp;Inv-ROA;130726 · 260713;Hans&amp;Barker;K&amp;T;Inv-ROA;130726 (couples with different surnames join both). The Type part is built from the advice areas: Super, Pension, Inv, Insurance, Cashflow.</w:t>
      </w:r>
    </w:p>
    <w:p>
      <w:pPr>
        <w:pStyle w:val="ListBullet"/>
      </w:pPr>
      <w:r>
        <w:t>💾 Save (JSON) stores the ROA data to reopen later with 📂 Load (JSON).</w:t>
      </w:r>
    </w:p>
    <w:p>
      <w:pPr>
        <w:pStyle w:val="Heading1"/>
      </w:pPr>
      <w:r>
        <w:rPr>
          <w:color w:val="0C2E3F"/>
        </w:rPr>
        <w:t>Part B — Superannuation &amp; Investment ROAs (incl. Pension)</w:t>
      </w:r>
    </w:p>
    <w:p>
      <w:pPr>
        <w:pStyle w:val="Heading2"/>
      </w:pPr>
      <w:r>
        <w:rPr>
          <w:color w:val="0D6BE0"/>
        </w:rPr>
        <w:t>B1. When to use, and the scenario options</w:t>
      </w:r>
    </w:p>
    <w:p>
      <w:pPr>
        <w:pStyle w:val="ListBullet"/>
      </w:pPr>
      <w:r>
        <w:t>Use these for portfolio advice: contributions (concessional / non-concessional / spouse split / downsizer / carry-forward), rollovers and new accounts, portfolio rebalances, investment-menu switches, withdrawals and pension commencement/commutation, reserves top-ups, DCA plans, and similar.</w:t>
      </w:r>
    </w:p>
    <w:p>
      <w:pPr>
        <w:pStyle w:val="ListBullet"/>
      </w:pPr>
      <w:r>
        <w:t>Pick one scenario per piece of advice. A combined ROA (e.g. salary sacrifice + NCC + rebalance) is normal — each becomes its own recommendation bullet and its wording merges into the right category block.</w:t>
      </w:r>
    </w:p>
    <w:p>
      <w:pPr>
        <w:pStyle w:val="Heading2"/>
      </w:pPr>
      <w:r>
        <w:rPr>
          <w:color w:val="0D6BE0"/>
        </w:rPr>
        <w:t>B2. Building the portfolio tables</w:t>
      </w:r>
    </w:p>
    <w:p>
      <w:pPr>
        <w:pStyle w:val="Heading3"/>
      </w:pPr>
      <w:r>
        <w:rPr>
          <w:color w:val="0C2E3F"/>
        </w:rPr>
        <w:t>Option 1 — CARE / Hub24 clients: 📥 Import CARE doc</w:t>
      </w:r>
    </w:p>
    <w:p>
      <w:pPr>
        <w:ind w:left="360"/>
      </w:pPr>
      <w:r>
        <w:t>1. In Section 3, press 📥 Import CARE doc (only visible on super/investment/pension ROAs) and choose the CARE rebalance document as a WORD (.docx) file. A PDF export loses the table structure — if you only have a PDF, export the Word version from CARE.</w:t>
      </w:r>
    </w:p>
    <w:p>
      <w:pPr>
        <w:ind w:left="360"/>
      </w:pPr>
      <w:r>
        <w:t>2. The importer reads every account ("Rebalance – J Super", "CARE Portfolio Fact Sheet" layouts) and shows a summary: accounts found, owners, risk profiles, totals, trade lines.</w:t>
      </w:r>
    </w:p>
    <w:p>
      <w:pPr>
        <w:ind w:left="360"/>
      </w:pPr>
      <w:r>
        <w:t>3. On confirm it creates ONE portfolio per account with the allocation table, variation table and buy/sell trades pre-filled. Super accounts sort before investment accounts automatically.</w:t>
      </w:r>
    </w:p>
    <w:p>
      <w:pPr>
        <w:pStyle w:val="ListBullet"/>
      </w:pPr>
      <w:r>
        <w:t>Joint docs on a single ROA: it offers to import only the matching client's accounts (joint/entity accounts stay). Two personal owners on a blank joint ROA pre-fill the client names.</w:t>
      </w:r>
    </w:p>
    <w:p>
      <w:pPr>
        <w:pStyle w:val="Heading3"/>
      </w:pPr>
      <w:r>
        <w:rPr>
          <w:color w:val="0C2E3F"/>
        </w:rPr>
        <w:t>Option 2 — Non-CARE clients: 📥 Import WealthSolver</w:t>
      </w:r>
    </w:p>
    <w:p>
      <w:pPr>
        <w:ind w:left="360"/>
      </w:pPr>
      <w:r>
        <w:t>1. Press 📥 Import WealthSolver and choose the WealthSolver comparison (.docx).</w:t>
      </w:r>
    </w:p>
    <w:p>
      <w:pPr>
        <w:ind w:left="360"/>
      </w:pPr>
      <w:r>
        <w:t>2. The importer builds the portfolio from the recommended platform column of the Plans table (holdings + total) and fills the fee cells from the Fees table's Gross Ongoing Costs, showing the current-vs-recommended cost change.</w:t>
      </w:r>
    </w:p>
    <w:p>
      <w:pPr>
        <w:pStyle w:val="Heading3"/>
      </w:pPr>
      <w:r>
        <w:rPr>
          <w:color w:val="0C2E3F"/>
        </w:rPr>
        <w:t>Option 3 — Manual</w:t>
      </w:r>
    </w:p>
    <w:p>
      <w:pPr>
        <w:pStyle w:val="ListBullet"/>
      </w:pPr>
      <w:r>
        <w:t>+ Add another portfolio creates an empty portfolio. Set the label, platform, total, and the allocation rows; choose the asset set (CARE or Vanguard) to pre-fill standard fund rows.</w:t>
      </w:r>
    </w:p>
    <w:p>
      <w:pPr>
        <w:pStyle w:val="ListBullet"/>
      </w:pPr>
      <w:r>
        <w:t>Portfolio extras: an optional Ongoing Regular Investment row and the Dollar Cost Average/Lump Sum band (standard wordings available: lump sum, staged DCA, super rollover).</w:t>
      </w:r>
    </w:p>
    <w:p>
      <w:pPr>
        <w:pStyle w:val="Heading2"/>
      </w:pPr>
      <w:r>
        <w:rPr>
          <w:color w:val="0D6BE0"/>
        </w:rPr>
        <w:t>B3. How Section 3 flows (and where benefits &amp; risks go)</w:t>
      </w:r>
    </w:p>
    <w:p>
      <w:pPr>
        <w:pStyle w:val="ListBullet"/>
      </w:pPr>
      <w:r>
        <w:t>The document always prints: ALL super tables first (both partners on a couple), then ONE combined Superannuation benefits &amp; risks block; then the investment table(s) and ONE Investment benefits &amp; risks block; Pension sits between Super and Investment.</w:t>
      </w:r>
    </w:p>
    <w:p>
      <w:pPr>
        <w:pStyle w:val="ListBullet"/>
      </w:pPr>
      <w:r>
        <w:t>The builder mirrors this exactly: category band → each portfolio's strategy block (1. We Recommend, 2. Allocation Table &amp; Trades, 3. Variation Table) → one "Benefits &amp; Risks" block per category.</w:t>
      </w:r>
    </w:p>
    <w:p>
      <w:pPr>
        <w:pStyle w:val="ListBullet"/>
      </w:pPr>
      <w:r>
        <w:t>Category recommendations (e.g. contribution advice bullets) print after the tables and before the benefits — edit them in the category block's step 1.</w:t>
      </w:r>
    </w:p>
    <w:p>
      <w:pPr>
        <w:pStyle w:val="ListBullet"/>
      </w:pPr>
      <w:r>
        <w:t>If a table exists with no scenario wording (e.g. a CARE import created an investment portfolio but no investment scenario was picked), the category's rebalance benefits &amp; risks are auto-seeded so nothing prints bare. Edit or delete as needed.</w:t>
      </w:r>
    </w:p>
    <w:p>
      <w:pPr>
        <w:pStyle w:val="ListBullet"/>
      </w:pPr>
      <w:r>
        <w:t>Per-portfolio recommendations (rebalance bullets from the trades) print above each portfolio's own table.</w:t>
      </w:r>
    </w:p>
    <w:p>
      <w:pPr>
        <w:pStyle w:val="Heading2"/>
      </w:pPr>
      <w:r>
        <w:rPr>
          <w:color w:val="0D6BE0"/>
        </w:rPr>
        <w:t>B4. Before exporting — checks</w:t>
      </w:r>
    </w:p>
    <w:p>
      <w:pPr>
        <w:pStyle w:val="ListBullet"/>
      </w:pPr>
      <w:r>
        <w:t>Every portfolio has amounts in its allocation table (the wizard flags empty ones).</w:t>
      </w:r>
    </w:p>
    <w:p>
      <w:pPr>
        <w:pStyle w:val="ListBullet"/>
      </w:pPr>
      <w:r>
        <w:t>Variation table percentages read correctly (the importer fills them from the CARE doc; manual portfolios need them typed).</w:t>
      </w:r>
    </w:p>
    <w:p>
      <w:pPr>
        <w:pStyle w:val="ListBullet"/>
      </w:pPr>
      <w:r>
        <w:t>Risk profile set (Client details step) when the advice references it.</w:t>
      </w:r>
    </w:p>
    <w:p>
      <w:pPr>
        <w:pStyle w:val="ListBullet"/>
      </w:pPr>
      <w:r>
        <w:t>Objectives and recommendation bullets have no [placeholders] left.</w:t>
      </w:r>
    </w:p>
    <w:p>
      <w:pPr>
        <w:pStyle w:val="Heading1"/>
      </w:pPr>
      <w:r>
        <w:rPr>
          <w:color w:val="0C2E3F"/>
        </w:rPr>
        <w:t>Part C — Insurance ROAs</w:t>
      </w:r>
    </w:p>
    <w:p>
      <w:pPr>
        <w:pStyle w:val="Heading2"/>
      </w:pPr>
      <w:r>
        <w:rPr>
          <w:color w:val="0D6BE0"/>
        </w:rPr>
        <w:t>C1. Insurance scenario types and what each produces</w:t>
      </w:r>
    </w:p>
    <w:p>
      <w:pPr>
        <w:pStyle w:val="ListBullet"/>
      </w:pPr>
      <w:r>
        <w:t>Increase / decrease / cancel cover, waiting-period and benefit-period changes, premium-structure changes → Current Cover + Recommended Cover tables.</w:t>
      </w:r>
    </w:p>
    <w:p>
      <w:pPr>
        <w:pStyle w:val="ListBullet"/>
      </w:pPr>
      <w:r>
        <w:t>Revised terms after underwriting (retain &amp; alter, transfer to Hub24, insurer switch, accident-only exclusions, employer-paid variants) → Original Recommendations + Recommended (Altered) Cover, plus the Option 2 (Alternative) — proceed as originally recommended — table with NOTES.</w:t>
      </w:r>
    </w:p>
    <w:p>
      <w:pPr>
        <w:pStyle w:val="ListBullet"/>
      </w:pPr>
      <w:r>
        <w:t>Two-option comparisons → Option 1 and Option 2 tables with summary bullets.</w:t>
      </w:r>
    </w:p>
    <w:p>
      <w:pPr>
        <w:pStyle w:val="ListBullet"/>
      </w:pPr>
      <w:r>
        <w:t>New cover / key person / child cover → Recommended Cover table.</w:t>
      </w:r>
    </w:p>
    <w:p>
      <w:pPr>
        <w:pStyle w:val="ListBullet"/>
      </w:pPr>
      <w:r>
        <w:t>Death benefit nominations (BDBN) → nominee table (no cover tables).</w:t>
      </w:r>
    </w:p>
    <w:p>
      <w:pPr>
        <w:ind w:left="360"/>
      </w:pPr>
      <w:r>
        <w:rPr>
          <w:i/>
          <w:color w:val="4A4A4A"/>
          <w:sz w:val="19"/>
        </w:rPr>
        <w:t>Note: On a two-option ROA the benefits &amp; risks always print under OPTION 1 (after its cover table), before the Option 2 table — the tool enforces this.</w:t>
      </w:r>
    </w:p>
    <w:p>
      <w:pPr>
        <w:pStyle w:val="Heading2"/>
      </w:pPr>
      <w:r>
        <w:rPr>
          <w:color w:val="0D6BE0"/>
        </w:rPr>
        <w:t>C2. The insurance tables</w:t>
      </w:r>
    </w:p>
    <w:p>
      <w:pPr>
        <w:pStyle w:val="ListBullet"/>
      </w:pPr>
      <w:r>
        <w:t>Tables appear in the Insurance Cover section based on the selected scenarios: Current, Recommended, Original, Altered, Alternative, Option 1, Option 2.</w:t>
      </w:r>
    </w:p>
    <w:p>
      <w:pPr>
        <w:pStyle w:val="ListBullet"/>
      </w:pPr>
      <w:r>
        <w:t>Each row: provider (grouped into coloured provider bands), life insured, owner (Super / Flexi-Linked Super / person), status, benefit amount, premium structure, monthly premium.</w:t>
      </w:r>
    </w:p>
    <w:p>
      <w:pPr>
        <w:pStyle w:val="ListBullet"/>
      </w:pPr>
      <w:r>
        <w:t>Statuses you will see after imports: In Force (current cover), Recommend, Retain, Retain &amp; Alter, Reduce, Increase, Cancel, New.</w:t>
      </w:r>
    </w:p>
    <w:p>
      <w:pPr>
        <w:pStyle w:val="ListBullet"/>
      </w:pPr>
      <w:r>
        <w:t>Linked Life + TPD rows share ONE combined premium — the premium cell merges across the pair (untick the share checkbox to split).</w:t>
      </w:r>
    </w:p>
    <w:p>
      <w:pPr>
        <w:pStyle w:val="ListBullet"/>
      </w:pPr>
      <w:r>
        <w:t>Premium cell conventions, printed as separate lines: "$83 pm (before tax)", "($71 from super and $13 from personal cashflow)", "$73 pm (after tax)". IP rows also carry the Super Contribution Option and "(4 weeks wait, until Age 65)" under the benefit.</w:t>
      </w:r>
    </w:p>
    <w:p>
      <w:pPr>
        <w:pStyle w:val="ListBullet"/>
      </w:pPr>
      <w:r>
        <w:t>⇄ Mirror copies a whole table (e.g. Current → Recommended) so you only edit what changes.</w:t>
      </w:r>
    </w:p>
    <w:p>
      <w:pPr>
        <w:pStyle w:val="ListBullet"/>
      </w:pPr>
      <w:r>
        <w:t>Benefits &amp; Risks for insurance are edited in the Insurance Cover section, after the tables — exactly where they print.</w:t>
      </w:r>
    </w:p>
    <w:p>
      <w:pPr>
        <w:pStyle w:val="Heading2"/>
      </w:pPr>
      <w:r>
        <w:rPr>
          <w:color w:val="0D6BE0"/>
        </w:rPr>
        <w:t>C3. Importing insurance documents (fastest way to fill tables)</w:t>
      </w:r>
    </w:p>
    <w:p>
      <w:pPr>
        <w:pStyle w:val="ListBullet"/>
      </w:pPr>
      <w:r>
        <w:t>Use Smart Import, the 📥 Import / drop document button on any table, or drag a file onto a table's card.</w:t>
      </w:r>
    </w:p>
    <w:p>
      <w:pPr>
        <w:pStyle w:val="Heading3"/>
      </w:pPr>
      <w:r>
        <w:rPr>
          <w:color w:val="0C2E3F"/>
        </w:rPr>
        <w:t>Existing cover (fills Current Cover, status In Force)</w:t>
      </w:r>
    </w:p>
    <w:p>
      <w:pPr>
        <w:pStyle w:val="ListBullet"/>
      </w:pPr>
      <w:r>
        <w:t>CDM Benefits Report · CDM/adviser INSURANCE SCHEDULE PDFs · prior SOA/ROA cover tables · screenshots of the firm's Insurance Products table (OCR).</w:t>
      </w:r>
    </w:p>
    <w:p>
      <w:pPr>
        <w:pStyle w:val="Heading3"/>
      </w:pPr>
      <w:r>
        <w:rPr>
          <w:color w:val="0C2E3F"/>
        </w:rPr>
        <w:t>New-business quotes (fill Recommended Cover)</w:t>
      </w:r>
    </w:p>
    <w:p>
      <w:pPr>
        <w:pStyle w:val="ListBullet"/>
      </w:pPr>
      <w:r>
        <w:t>NEOS · ClearView ClearChoice · Zurich (Active and Wealth Protection) · OnePath OneCare · MetLife Protect. Each produces firm-style rows: flexi-linked Life+TPD combined premium with the super/personal split, IP with SCO, waiting and benefit periods, TPD definition.</w:t>
      </w:r>
    </w:p>
    <w:p>
      <w:pPr>
        <w:pStyle w:val="Heading3"/>
      </w:pPr>
      <w:r>
        <w:rPr>
          <w:color w:val="0C2E3F"/>
        </w:rPr>
        <w:t>Alteration / in-force quotes (fill BOTH tables in one drop via Smart Import)</w:t>
      </w:r>
    </w:p>
    <w:p>
      <w:pPr>
        <w:pStyle w:val="ListBullet"/>
      </w:pPr>
      <w:r>
        <w:t>AIA (Current Plan vs New Quotation) · TAL-style Policy Alteration Illustrations · ClearView LifeSolutions alteration quotes and Amended Terms letters · Zurich alteration quotations · NEOS in-force quote emails · MetLife alteration quote emails.</w:t>
      </w:r>
    </w:p>
    <w:p>
      <w:pPr>
        <w:pStyle w:val="ListBullet"/>
      </w:pPr>
      <w:r>
        <w:t>The existing side lands in Current Cover (In Force); the proposed side lands in Recommended/Altered with the change flagged per row: Retain &amp; Alter, Reduce, Cancel (cover disappearing), New (cover added). A reduction can not slip through unnoticed.</w:t>
      </w:r>
    </w:p>
    <w:p>
      <w:pPr>
        <w:pStyle w:val="ListBullet"/>
      </w:pPr>
      <w:r>
        <w:t>Documents holding multiple quote options (AIA quotes, MetLife Quote 1/2, ClearView alternative bundles, TAL multi-quote illustrations) ask which option to apply.</w:t>
      </w:r>
    </w:p>
    <w:p>
      <w:pPr>
        <w:pStyle w:val="ListBullet"/>
      </w:pPr>
      <w:r>
        <w:t>A prior SOA (.docx) imports BOTH clients' recommended tables — routed to Original Recommendations on a revised-terms ROA, otherwise Current Cover.</w:t>
      </w:r>
    </w:p>
    <w:p>
      <w:pPr>
        <w:pStyle w:val="ListBullet"/>
      </w:pPr>
      <w:r>
        <w:t>Unknown insurer or layout? The generic table/keyword readers still recover cover types, amounts and premiums — review the grid afterwards. Send a sample to have an exact reader added.</w:t>
      </w:r>
    </w:p>
    <w:p>
      <w:pPr>
        <w:pStyle w:val="Heading2"/>
      </w:pPr>
      <w:r>
        <w:rPr>
          <w:color w:val="0D6BE0"/>
        </w:rPr>
        <w:t>C4. Two-option (revised terms) ROAs — specifics</w:t>
      </w:r>
    </w:p>
    <w:p>
      <w:pPr>
        <w:pStyle w:val="ListBullet"/>
      </w:pPr>
      <w:r>
        <w:t>Order printed: Original Recommendations → Recommended (Altered) Cover → benefits &amp; risks (Option 1) → Superannuation Recommendation (when retaining external super) → Option 2 (Alternative) table → NOTES.</w:t>
      </w:r>
    </w:p>
    <w:p>
      <w:pPr>
        <w:pStyle w:val="ListBullet"/>
      </w:pPr>
      <w:r>
        <w:t>The Option 2 intro and NOTES bullets are editable in the Insurance section; the premium-increase and underinsurance notes default in.</w:t>
      </w:r>
    </w:p>
    <w:p>
      <w:pPr>
        <w:pStyle w:val="ListBullet"/>
      </w:pPr>
      <w:r>
        <w:t>Retain-external-super variants also produce a super allocation table — import it from the prior ROA/SOA or fill manually.</w:t>
      </w:r>
    </w:p>
    <w:p>
      <w:pPr>
        <w:pStyle w:val="Heading2"/>
      </w:pPr>
      <w:r>
        <w:rPr>
          <w:color w:val="0D6BE0"/>
        </w:rPr>
        <w:t>C5. Commission / fees</w:t>
      </w:r>
    </w:p>
    <w:p>
      <w:pPr>
        <w:pStyle w:val="ListBullet"/>
      </w:pPr>
      <w:r>
        <w:t>If commissions change, switch Fees to "changed" and enter Implementation and Renewal amounts — they print as the remuneration table in the Fees section.</w:t>
      </w:r>
    </w:p>
    <w:p>
      <w:pPr>
        <w:pStyle w:val="Heading2"/>
      </w:pPr>
      <w:r>
        <w:rPr>
          <w:color w:val="0D6BE0"/>
        </w:rPr>
        <w:t>C6. Before exporting — checks</w:t>
      </w:r>
    </w:p>
    <w:p>
      <w:pPr>
        <w:pStyle w:val="ListBullet"/>
      </w:pPr>
      <w:r>
        <w:t>Every table the scenarios need has content (the wizard flags empty ones by name).</w:t>
      </w:r>
    </w:p>
    <w:p>
      <w:pPr>
        <w:pStyle w:val="ListBullet"/>
      </w:pPr>
      <w:r>
        <w:t>Life insured / owner set on each row (imports fill them; manual rows need them).</w:t>
      </w:r>
    </w:p>
    <w:p>
      <w:pPr>
        <w:pStyle w:val="ListBullet"/>
      </w:pPr>
      <w:r>
        <w:t>Statuses reflect the advice (especially Cancel rows on reductions).</w:t>
      </w:r>
    </w:p>
    <w:p>
      <w:pPr>
        <w:pStyle w:val="ListBullet"/>
      </w:pPr>
      <w:r>
        <w:t>Premium split notes read correctly on flexi-linked covers.</w:t>
      </w:r>
    </w:p>
    <w:p>
      <w:pPr>
        <w:pStyle w:val="Heading1"/>
      </w:pPr>
      <w:r>
        <w:rPr>
          <w:color w:val="0C2E3F"/>
        </w:rPr>
        <w:t>Part D — Other categories</w:t>
      </w:r>
    </w:p>
    <w:p>
      <w:pPr>
        <w:pStyle w:val="Heading2"/>
      </w:pPr>
      <w:r>
        <w:rPr>
          <w:color w:val="0D6BE0"/>
        </w:rPr>
        <w:t>D1. Cashflow &amp; Debt scenarios</w:t>
      </w:r>
    </w:p>
    <w:p>
      <w:pPr>
        <w:pStyle w:val="ListBullet"/>
      </w:pPr>
      <w:r>
        <w:t>General (non-portfolio) strategies — offset accounts, budgeting tools, debt recycling and similar. They produce recommendation bullets + benefits &amp; risks in their own block after the portfolio categories; no tables.</w:t>
      </w:r>
    </w:p>
    <w:p>
      <w:pPr>
        <w:pStyle w:val="Heading2"/>
      </w:pPr>
      <w:r>
        <w:rPr>
          <w:color w:val="0D6BE0"/>
        </w:rPr>
        <w:t>D2. Death Benefit Nominations</w:t>
      </w:r>
    </w:p>
    <w:p>
      <w:pPr>
        <w:pStyle w:val="ListBullet"/>
      </w:pPr>
      <w:r>
        <w:t>Select "Super — Death Benefit Nomination (BDBN)" (Superannuation category). It adds a nomination section to the builder: nomination type, nominee table (name / relationship / allocation %) and note, plus the standard BDBN recommendation, benefits and risks wording.</w:t>
      </w:r>
    </w:p>
    <w:p>
      <w:pPr>
        <w:pStyle w:val="Heading1"/>
      </w:pPr>
      <w:r>
        <w:rPr>
          <w:color w:val="0C2E3F"/>
        </w:rPr>
        <w:t>Part E — Admin panel (back office)</w:t>
      </w:r>
    </w:p>
    <w:p>
      <w:pPr>
        <w:pStyle w:val="ListBullet"/>
      </w:pPr>
      <w:r>
        <w:t>⚙ Admin (top bar) — soft password lock. Manage the adviser roster, licensee details and the default suggested wording per scenario.</w:t>
      </w:r>
    </w:p>
    <w:p>
      <w:pPr>
        <w:pStyle w:val="ListBullet"/>
      </w:pPr>
      <w:r>
        <w:t>Wording changed in Admin becomes the default for FUTURE generations (new ROAs / Regenerate); it does not rewrite documents in progress.</w:t>
      </w:r>
    </w:p>
    <w:p>
      <w:pPr>
        <w:pStyle w:val="ListBullet"/>
      </w:pPr>
      <w:r>
        <w:t>Export settings file (new HTML) bakes the roster + wording into a fresh copy of the tool for the whole team — this is how defaults are distributed. Export/Import settings (JSON) moves settings between copies.</w:t>
      </w:r>
    </w:p>
    <w:p>
      <w:pPr>
        <w:pStyle w:val="Heading1"/>
      </w:pPr>
      <w:r>
        <w:rPr>
          <w:color w:val="0C2E3F"/>
        </w:rPr>
        <w:t>Part F — Troubleshooting</w:t>
      </w:r>
    </w:p>
    <w:p>
      <w:pPr>
        <w:pStyle w:val="ListBullet"/>
      </w:pPr>
      <w:r>
        <w:t>"Button doesn't open a file dialog" → you are in a preview pane; save the HTML and open it in a real browser tab.</w:t>
      </w:r>
    </w:p>
    <w:p>
      <w:pPr>
        <w:pStyle w:val="ListBullet"/>
      </w:pPr>
      <w:r>
        <w:t>"CARE import says use the Word version" → the CARE doc must be .docx; PDF exports lose the table structure.</w:t>
      </w:r>
    </w:p>
    <w:p>
      <w:pPr>
        <w:pStyle w:val="ListBullet"/>
      </w:pPr>
      <w:r>
        <w:t>"No insurance cover lines were found" → check the file is text-based (not a scan); Word versions read best; screenshots go through OCR (needs internet). If the layout is new, send the file for a parser to be added.</w:t>
      </w:r>
    </w:p>
    <w:p>
      <w:pPr>
        <w:pStyle w:val="ListBullet"/>
      </w:pPr>
      <w:r>
        <w:t>Import filled the wrong table → every import confirms its target first; Cancel and use the 📥 button on the specific table instead.</w:t>
      </w:r>
    </w:p>
    <w:p>
      <w:pPr>
        <w:pStyle w:val="ListBullet"/>
      </w:pPr>
      <w:r>
        <w:t>An import replaced rows you wanted to keep → Ctrl/⌘+Z undoes it; on re-import choose UPDATE instead of REPLACE.</w:t>
      </w:r>
    </w:p>
    <w:p>
      <w:pPr>
        <w:pStyle w:val="ListBullet"/>
      </w:pPr>
      <w:r>
        <w:t>Wording reverted unexpectedly → only ↻ Regenerate discards edits; plain field changes never do. Check whether someone pressed Regenerate.</w:t>
      </w:r>
    </w:p>
    <w:p>
      <w:pPr>
        <w:pStyle w:val="ListBullet"/>
      </w:pPr>
      <w:r>
        <w:t>Work disappeared after closing the tab → reopen the tool; the auto-saved draft is offered back. For permanent copies use 💾 Save copy or Save (JSON).</w:t>
      </w:r>
    </w:p>
    <w:p>
      <w:pPr>
        <w:pStyle w:val="ListBullet"/>
      </w:pPr>
      <w:r>
        <w:t>Different output on a colleague's machine → compare the version stamps in the top bar; everyone must run the same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