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40"/>
        <w:jc w:val="left"/>
      </w:pPr>
      <w:r>
        <w:rPr>
          <w:b/>
          <w:bCs/>
          <w:color w:val="2B6FD6"/>
          <w:sz w:val="22"/>
          <w:szCs w:val="22"/>
          <w:rFonts w:ascii="ABC Arizona Flare" w:cs="ABC Arizona Flare" w:eastAsia="ABC Arizona Flare" w:hAnsi="ABC Arizona Flare"/>
        </w:rPr>
        <w:t xml:space="preserve">My Wealth Solutions</w:t>
      </w:r>
    </w:p>
    <w:p>
      <w:pPr>
        <w:spacing w:before="0" w:after="60"/>
      </w:pPr>
      <w:r>
        <w:rPr>
          <w:b/>
          <w:bCs/>
          <w:color w:val="0C2E3F"/>
          <w:sz w:val="44"/>
          <w:szCs w:val="44"/>
          <w:rFonts w:ascii="ABC Arizona Flare" w:cs="ABC Arizona Flare" w:eastAsia="ABC Arizona Flare" w:hAnsi="ABC Arizona Flare"/>
        </w:rPr>
        <w:t xml:space="preserve">Standard Operating Procedure</w:t>
      </w:r>
    </w:p>
    <w:p>
      <w:pPr>
        <w:pBdr>
          <w:bottom w:val="single" w:color="2B6FD6" w:sz="8" w:space="6"/>
        </w:pBdr>
        <w:spacing w:before="0" w:after="120"/>
      </w:pPr>
      <w:r>
        <w:rPr>
          <w:b/>
          <w:bCs/>
          <w:color w:val="2B6FD6"/>
          <w:sz w:val="28"/>
          <w:szCs w:val="28"/>
          <w:rFonts w:ascii="ABC Arizona Flare" w:cs="ABC Arizona Flare" w:eastAsia="ABC Arizona Flare" w:hAnsi="ABC Arizona Flare"/>
        </w:rPr>
        <w:t xml:space="preserve">Cashflow Advice Fee — Tax Invoice Generator</w:t>
      </w:r>
    </w:p>
    <w:p>
      <w:pPr>
        <w:spacing w:before="40" w:after="80" w:line="276"/>
      </w:pPr>
      <w:r>
        <w:rPr>
          <w:b/>
          <w:bCs/>
          <w:i w:val="false"/>
          <w:iCs w:val="false"/>
          <w:color w:val="5a6b76"/>
          <w:sz w:val="19"/>
          <w:szCs w:val="19"/>
          <w:rFonts w:ascii="Nunito Sans" w:cs="Nunito Sans" w:eastAsia="Nunito Sans" w:hAnsi="Nunito Sans"/>
        </w:rPr>
        <w:t xml:space="preserve">Document owner: </w:t>
      </w:r>
      <w:r>
        <w:rPr>
          <w:b w:val="false"/>
          <w:bCs w:val="false"/>
          <w:i w:val="false"/>
          <w:iCs w:val="false"/>
          <w:color w:val="5a6b76"/>
          <w:sz w:val="19"/>
          <w:szCs w:val="19"/>
          <w:rFonts w:ascii="Nunito Sans" w:cs="Nunito Sans" w:eastAsia="Nunito Sans" w:hAnsi="Nunito Sans"/>
        </w:rPr>
        <w:t xml:space="preserve">Advice Operations   ·   </w:t>
      </w:r>
      <w:r>
        <w:rPr>
          <w:b/>
          <w:bCs/>
          <w:i w:val="false"/>
          <w:iCs w:val="false"/>
          <w:color w:val="5a6b76"/>
          <w:sz w:val="19"/>
          <w:szCs w:val="19"/>
          <w:rFonts w:ascii="Nunito Sans" w:cs="Nunito Sans" w:eastAsia="Nunito Sans" w:hAnsi="Nunito Sans"/>
        </w:rPr>
        <w:t xml:space="preserve">Applies to: </w:t>
      </w:r>
      <w:r>
        <w:rPr>
          <w:b w:val="false"/>
          <w:bCs w:val="false"/>
          <w:i w:val="false"/>
          <w:iCs w:val="false"/>
          <w:color w:val="5a6b76"/>
          <w:sz w:val="19"/>
          <w:szCs w:val="19"/>
          <w:rFonts w:ascii="Nunito Sans" w:cs="Nunito Sans" w:eastAsia="Nunito Sans" w:hAnsi="Nunito Sans"/>
        </w:rPr>
        <w:t xml:space="preserve">All advisers &amp; support staff   ·   </w:t>
      </w:r>
      <w:r>
        <w:rPr>
          <w:b/>
          <w:bCs/>
          <w:i w:val="false"/>
          <w:iCs w:val="false"/>
          <w:color w:val="5a6b76"/>
          <w:sz w:val="19"/>
          <w:szCs w:val="19"/>
          <w:rFonts w:ascii="Nunito Sans" w:cs="Nunito Sans" w:eastAsia="Nunito Sans" w:hAnsi="Nunito Sans"/>
        </w:rPr>
        <w:t xml:space="preserve">Tool: </w:t>
      </w:r>
      <w:r>
        <w:rPr>
          <w:b w:val="false"/>
          <w:bCs w:val="false"/>
          <w:i w:val="false"/>
          <w:iCs w:val="false"/>
          <w:color w:val="5a6b76"/>
          <w:sz w:val="19"/>
          <w:szCs w:val="19"/>
          <w:rFonts w:ascii="Nunito Sans" w:cs="Nunito Sans" w:eastAsia="Nunito Sans" w:hAnsi="Nunito Sans"/>
        </w:rPr>
        <w:t xml:space="preserve">Tax_Invoice_Generator_v1.0.html</w:t>
      </w:r>
    </w:p>
    <w:p>
      <w:pPr>
        <w:pStyle w:val="Heading1"/>
        <w:spacing w:before="260" w:after="100"/>
      </w:pPr>
      <w:r>
        <w:rPr>
          <w:b/>
          <w:bCs/>
          <w:color w:val="0C2E3F"/>
          <w:sz w:val="30"/>
          <w:szCs w:val="30"/>
          <w:rFonts w:ascii="ABC Arizona Flare" w:cs="ABC Arizona Flare" w:eastAsia="ABC Arizona Flare" w:hAnsi="ABC Arizona Flare"/>
        </w:rPr>
        <w:t xml:space="preserve">1. Purpose</w:t>
      </w:r>
    </w:p>
    <w:p>
      <w:pPr>
        <w:spacing w:before="40" w:after="80" w:line="276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Nunito Sans" w:cs="Nunito Sans" w:eastAsia="Nunito Sans" w:hAnsi="Nunito Sans"/>
        </w:rPr>
        <w:t xml:space="preserve">This SOP explains how to produce a client tax invoice that apportions cashflow advice fees between tax-deductible and non-deductible components, in line with ATO Determination TD 2024/7. The generator produces a Word invoice per fee type showing each strategy, its weighting, and the deductible amount, plus a running register of every invoice issued.</w:t>
      </w:r>
    </w:p>
    <w:tbl>
      <w:tblPr>
        <w:tblW w:type="dxa" w:w="9026"/>
        <w:tblBorders>
          <w:top w:val="single" w:color="D4E2EE" w:sz="4"/>
          <w:left w:val="single" w:color="2B6FD6" w:sz="18"/>
          <w:bottom w:val="single" w:color="D4E2EE" w:sz="4"/>
          <w:right w:val="single" w:color="D4E2EE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AF4FB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before="0" w:after="0" w:line="276"/>
            </w:pPr>
            <w:r>
              <w:rPr>
                <w:b/>
                <w:bCs/>
                <w:color w:val="2B6FD6"/>
                <w:sz w:val="20"/>
                <w:szCs w:val="20"/>
                <w:rFonts w:ascii="Nunito Sans" w:cs="Nunito Sans" w:eastAsia="Nunito Sans" w:hAnsi="Nunito Sans"/>
              </w:rPr>
              <w:t xml:space="preserve">Why it matters  </w:t>
            </w:r>
            <w:r>
              <w:rPr>
                <w:color w:val="1a1a1a"/>
                <w:sz w:val="20"/>
                <w:szCs w:val="20"/>
                <w:rFonts w:ascii="Nunito Sans" w:cs="Nunito Sans" w:eastAsia="Nunito Sans" w:hAnsi="Nunito Sans"/>
              </w:rPr>
              <w:t xml:space="preserve">TD 2024/7 lets clients claim a deduction for the part of an advice fee that relates to tax (financial) advice or managing income-producing investments — but only where the apportionment is fair and reasonable and the invoice itemises it. This tool produces that itemised invoice.</w:t>
            </w:r>
          </w:p>
        </w:tc>
      </w:tr>
    </w:tbl>
    <w:p>
      <w:pPr>
        <w:pStyle w:val="Heading1"/>
        <w:spacing w:before="260" w:after="100"/>
      </w:pPr>
      <w:r>
        <w:rPr>
          <w:b/>
          <w:bCs/>
          <w:color w:val="0C2E3F"/>
          <w:sz w:val="30"/>
          <w:szCs w:val="30"/>
          <w:rFonts w:ascii="ABC Arizona Flare" w:cs="ABC Arizona Flare" w:eastAsia="ABC Arizona Flare" w:hAnsi="ABC Arizona Flare"/>
        </w:rPr>
        <w:t xml:space="preserve">2. When to Use This Tool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A client (or their accountant) asks what portion of their advice fees is tax deductible.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End of financial year — producing deductibility invoices for ongoing-service clients.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After an upfront / retainer engagement completes and the client wants the fee apportioned.</w:t>
      </w:r>
    </w:p>
    <w:tbl>
      <w:tblPr>
        <w:tblW w:type="dxa" w:w="9026"/>
        <w:tblBorders>
          <w:top w:val="single" w:color="D4E2EE" w:sz="4"/>
          <w:left w:val="single" w:color="0C2E3F" w:sz="18"/>
          <w:bottom w:val="single" w:color="D4E2EE" w:sz="4"/>
          <w:right w:val="single" w:color="D4E2EE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E5F4F6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before="0" w:after="0" w:line="276"/>
            </w:pPr>
            <w:r>
              <w:rPr>
                <w:b/>
                <w:bCs/>
                <w:color w:val="0C2E3F"/>
                <w:sz w:val="20"/>
                <w:szCs w:val="20"/>
                <w:rFonts w:ascii="Nunito Sans" w:cs="Nunito Sans" w:eastAsia="Nunito Sans" w:hAnsi="Nunito Sans"/>
              </w:rPr>
              <w:t xml:space="preserve">Rule  </w:t>
            </w:r>
            <w:r>
              <w:rPr>
                <w:color w:val="1a1a1a"/>
                <w:sz w:val="20"/>
                <w:szCs w:val="20"/>
                <w:rFonts w:ascii="Nunito Sans" w:cs="Nunito Sans" w:eastAsia="Nunito Sans" w:hAnsi="Nunito Sans"/>
              </w:rPr>
              <w:t xml:space="preserve">Retainer (upfront) fees and ongoing fees are ALWAYS separate invoices — they usually cover different strategies (e.g. establishing an account is not deductible; managing an existing one may be). The tool never merges them.</w:t>
            </w:r>
          </w:p>
        </w:tc>
      </w:tr>
    </w:tbl>
    <w:p>
      <w:pPr>
        <w:pStyle w:val="Heading1"/>
        <w:spacing w:before="260" w:after="100"/>
      </w:pPr>
      <w:r>
        <w:rPr>
          <w:b/>
          <w:bCs/>
          <w:color w:val="0C2E3F"/>
          <w:sz w:val="30"/>
          <w:szCs w:val="30"/>
          <w:rFonts w:ascii="ABC Arizona Flare" w:cs="ABC Arizona Flare" w:eastAsia="ABC Arizona Flare" w:hAnsi="ABC Arizona Flare"/>
        </w:rPr>
        <w:t xml:space="preserve">3. Before You Start — Checklist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/>
          <w:bCs/>
          <w:color w:val="1a1a1a"/>
          <w:sz w:val="21"/>
          <w:szCs w:val="21"/>
          <w:rFonts w:ascii="Nunito Sans" w:cs="Nunito Sans" w:eastAsia="Nunito Sans" w:hAnsi="Nunito Sans"/>
        </w:rPr>
        <w:t xml:space="preserve">Most recent relevant SOA(s) 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— the strategies you invoice must match the advice actually provided.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/>
          <w:bCs/>
          <w:color w:val="1a1a1a"/>
          <w:sz w:val="21"/>
          <w:szCs w:val="21"/>
          <w:rFonts w:ascii="Nunito Sans" w:cs="Nunito Sans" w:eastAsia="Nunito Sans" w:hAnsi="Nunito Sans"/>
        </w:rPr>
        <w:t xml:space="preserve">Most recent wealth review 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(where applicable) — cross-check that the strategies are still current.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/>
          <w:bCs/>
          <w:color w:val="1a1a1a"/>
          <w:sz w:val="21"/>
          <w:szCs w:val="21"/>
          <w:rFonts w:ascii="Nunito Sans" w:cs="Nunito Sans" w:eastAsia="Nunito Sans" w:hAnsi="Nunito Sans"/>
        </w:rPr>
        <w:t xml:space="preserve">Fee amounts 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— from Salesforce (the All Transactions report can be imported directly, see Step 1).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/>
          <w:bCs/>
          <w:color w:val="1a1a1a"/>
          <w:sz w:val="21"/>
          <w:szCs w:val="21"/>
          <w:rFonts w:ascii="Nunito Sans" w:cs="Nunito Sans" w:eastAsia="Nunito Sans" w:hAnsi="Nunito Sans"/>
        </w:rPr>
        <w:t xml:space="preserve">Client postal address 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— it prints on the invoice and is not in the fee report.</w:t>
      </w:r>
    </w:p>
    <w:p>
      <w:pPr>
        <w:pStyle w:val="Heading1"/>
        <w:spacing w:before="260" w:after="100"/>
      </w:pPr>
      <w:r>
        <w:rPr>
          <w:b/>
          <w:bCs/>
          <w:color w:val="0C2E3F"/>
          <w:sz w:val="30"/>
          <w:szCs w:val="30"/>
          <w:rFonts w:ascii="ABC Arizona Flare" w:cs="ABC Arizona Flare" w:eastAsia="ABC Arizona Flare" w:hAnsi="ABC Arizona Flare"/>
        </w:rPr>
        <w:t xml:space="preserve">4. Procedure</w:t>
      </w:r>
    </w:p>
    <w:p>
      <w:pPr>
        <w:pStyle w:val="Heading2"/>
        <w:spacing w:before="200" w:after="80"/>
      </w:pPr>
      <w:r>
        <w:rPr>
          <w:b/>
          <w:bCs/>
          <w:color w:val="2B6FD6"/>
          <w:sz w:val="24"/>
          <w:szCs w:val="24"/>
          <w:rFonts w:ascii="ABC Arizona Flare" w:cs="ABC Arizona Flare" w:eastAsia="ABC Arizona Flare" w:hAnsi="ABC Arizona Flare"/>
        </w:rPr>
        <w:t xml:space="preserve">Step 1 — (Optional) Import the fee report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Open the Import tab and drop in the Salesforce "All Transactions" Excel export.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Filter by adviser if needed, then search for the client group. The tool groups total fees paid per client per financial year (it auto-selects the FY with the most payments).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Check the flags: </w:t>
      </w:r>
      <w:r>
        <w:rPr>
          <w:b/>
          <w:bCs/>
          <w:color w:val="1a1a1a"/>
          <w:sz w:val="21"/>
          <w:szCs w:val="21"/>
          <w:rFonts w:ascii="Nunito Sans" w:cs="Nunito Sans" w:eastAsia="Nunito Sans" w:hAnsi="Nunito Sans"/>
        </w:rPr>
        <w:t xml:space="preserve">⚠ single payments ≥ $5,000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 (possible upfront fee), one-off / larger payments are classed as </w:t>
      </w:r>
      <w:r>
        <w:rPr>
          <w:b/>
          <w:bCs/>
          <w:color w:val="1a1a1a"/>
          <w:sz w:val="21"/>
          <w:szCs w:val="21"/>
          <w:rFonts w:ascii="Nunito Sans" w:cs="Nunito Sans" w:eastAsia="Nunito Sans" w:hAnsi="Nunito Sans"/>
        </w:rPr>
        <w:t xml:space="preserve">upfront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, and groups with </w:t>
      </w:r>
      <w:r>
        <w:rPr>
          <w:b/>
          <w:bCs/>
          <w:color w:val="1a1a1a"/>
          <w:sz w:val="21"/>
          <w:szCs w:val="21"/>
          <w:rFonts w:ascii="Nunito Sans" w:cs="Nunito Sans" w:eastAsia="Nunito Sans" w:hAnsi="Nunito Sans"/>
        </w:rPr>
        <w:t xml:space="preserve">more than 12 recurring payments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 are flagged for review (there should usually be at most 12 per year).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Click "Draft invoice" on the client — names, FY and amounts prefill. Address and strategies are always entered manually.</w:t>
      </w:r>
    </w:p>
    <w:p>
      <w:pPr>
        <w:pStyle w:val="Heading2"/>
        <w:spacing w:before="200" w:after="80"/>
      </w:pPr>
      <w:r>
        <w:rPr>
          <w:b/>
          <w:bCs/>
          <w:color w:val="2B6FD6"/>
          <w:sz w:val="24"/>
          <w:szCs w:val="24"/>
          <w:rFonts w:ascii="ABC Arizona Flare" w:cs="ABC Arizona Flare" w:eastAsia="ABC Arizona Flare" w:hAnsi="ABC Arizona Flare"/>
        </w:rPr>
        <w:t xml:space="preserve">Step 2 — Client details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Enter or confirm client name(s) — couples print as "John &amp; Ann Smith" (same surname) or "John Smith &amp; Ann Doe" (different surnames).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Enter the postal address, select the financial year, and pick the office / adviser (the corporate authorised details fill in automatically).</w:t>
      </w:r>
    </w:p>
    <w:p>
      <w:pPr>
        <w:pStyle w:val="Heading2"/>
        <w:spacing w:before="200" w:after="80"/>
      </w:pPr>
      <w:r>
        <w:rPr>
          <w:b/>
          <w:bCs/>
          <w:color w:val="2B6FD6"/>
          <w:sz w:val="24"/>
          <w:szCs w:val="24"/>
          <w:rFonts w:ascii="ABC Arizona Flare" w:cs="ABC Arizona Flare" w:eastAsia="ABC Arizona Flare" w:hAnsi="ABC Arizona Flare"/>
        </w:rPr>
        <w:t xml:space="preserve">Step 3 — Fees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Enter the Retainer (upfront) fee and/or the Ongoing fee for the year. Each fee produces its own invoice with its own strategy list.</w:t>
      </w:r>
    </w:p>
    <w:p>
      <w:pPr>
        <w:pStyle w:val="Heading2"/>
        <w:spacing w:before="200" w:after="80"/>
      </w:pPr>
      <w:r>
        <w:rPr>
          <w:b/>
          <w:bCs/>
          <w:color w:val="2B6FD6"/>
          <w:sz w:val="24"/>
          <w:szCs w:val="24"/>
          <w:rFonts w:ascii="ABC Arizona Flare" w:cs="ABC Arizona Flare" w:eastAsia="ABC Arizona Flare" w:hAnsi="ABC Arizona Flare"/>
        </w:rPr>
        <w:t xml:space="preserve">Step 4 — Strategies &amp; apportioning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For EACH invoice, add the strategies actually advised on, selecting from the built-in Apportioning Rules list.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Set each strategy's weighting (%). Weightings must total no more than 100% per invoice — the tool enforces this.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Review the deductible % for each strategy. Defaults are conservative (low end) and default to s8-1 where that is correct; only strategies that are genuinely tax-affairs advice use s25-5.</w:t>
      </w:r>
    </w:p>
    <w:tbl>
      <w:tblPr>
        <w:tblW w:type="dxa" w:w="9026"/>
        <w:tblBorders>
          <w:top w:val="single" w:color="D4E2EE" w:sz="4"/>
          <w:left w:val="single" w:color="B7791F" w:sz="18"/>
          <w:bottom w:val="single" w:color="D4E2EE" w:sz="4"/>
          <w:right w:val="single" w:color="D4E2EE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FF6E5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before="0" w:after="0" w:line="276"/>
            </w:pPr>
            <w:r>
              <w:rPr>
                <w:b/>
                <w:bCs/>
                <w:color w:val="B7791F"/>
                <w:sz w:val="20"/>
                <w:szCs w:val="20"/>
                <w:rFonts w:ascii="Nunito Sans" w:cs="Nunito Sans" w:eastAsia="Nunito Sans" w:hAnsi="Nunito Sans"/>
              </w:rPr>
              <w:t xml:space="preserve">Cross-check  </w:t>
            </w:r>
            <w:r>
              <w:rPr>
                <w:color w:val="1a1a1a"/>
                <w:sz w:val="20"/>
                <w:szCs w:val="20"/>
                <w:rFonts w:ascii="Nunito Sans" w:cs="Nunito Sans" w:eastAsia="Nunito Sans" w:hAnsi="Nunito Sans"/>
              </w:rPr>
              <w:t xml:space="preserve">Confirm the strategies against the client's most recent relevant SOA(s) and their most recent wealth review (where applicable). The apportionment must reflect the advice actually provided that year — not a template.</w:t>
            </w:r>
          </w:p>
        </w:tc>
      </w:tr>
    </w:tbl>
    <w:tbl>
      <w:tblPr>
        <w:tblW w:type="dxa" w:w="9026"/>
        <w:tblBorders>
          <w:top w:val="single" w:color="D4E2EE" w:sz="4"/>
          <w:left w:val="single" w:color="F56A5A" w:sz="18"/>
          <w:bottom w:val="single" w:color="D4E2EE" w:sz="4"/>
          <w:right w:val="single" w:color="D4E2EE" w:sz="4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DECEA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before="0" w:after="0" w:line="276"/>
            </w:pPr>
            <w:r>
              <w:rPr>
                <w:b/>
                <w:bCs/>
                <w:color w:val="F56A5A"/>
                <w:sz w:val="20"/>
                <w:szCs w:val="20"/>
                <w:rFonts w:ascii="Nunito Sans" w:cs="Nunito Sans" w:eastAsia="Nunito Sans" w:hAnsi="Nunito Sans"/>
              </w:rPr>
              <w:t xml:space="preserve">s25-5 warning  </w:t>
            </w:r>
            <w:r>
              <w:rPr>
                <w:color w:val="1a1a1a"/>
                <w:sz w:val="20"/>
                <w:szCs w:val="20"/>
                <w:rFonts w:ascii="Nunito Sans" w:cs="Nunito Sans" w:eastAsia="Nunito Sans" w:hAnsi="Nunito Sans"/>
              </w:rPr>
              <w:t xml:space="preserve">If any strategy is claimed under s25-5 (tax affairs), that advice must come from a registered tax agent or a Qualified Tax Relevant Provider (QTRP). The tool shows a warning when this applies — check the adviser's registration before issuing.</w:t>
            </w:r>
          </w:p>
        </w:tc>
      </w:tr>
    </w:tbl>
    <w:p>
      <w:pPr>
        <w:pStyle w:val="Heading2"/>
        <w:spacing w:before="200" w:after="80"/>
      </w:pPr>
      <w:r>
        <w:rPr>
          <w:b/>
          <w:bCs/>
          <w:color w:val="2B6FD6"/>
          <w:sz w:val="24"/>
          <w:szCs w:val="24"/>
          <w:rFonts w:ascii="ABC Arizona Flare" w:cs="ABC Arizona Flare" w:eastAsia="ABC Arizona Flare" w:hAnsi="ABC Arizona Flare"/>
        </w:rPr>
        <w:t xml:space="preserve">Step 5 — Review &amp; check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The Review step lists any errors (weightings over 100%, missing fields) and warnings (s25-5 strategies, unusual amounts). Resolve everything before exporting.</w:t>
      </w:r>
    </w:p>
    <w:p>
      <w:pPr>
        <w:pStyle w:val="Heading2"/>
        <w:spacing w:before="200" w:after="80"/>
      </w:pPr>
      <w:r>
        <w:rPr>
          <w:b/>
          <w:bCs/>
          <w:color w:val="2B6FD6"/>
          <w:sz w:val="24"/>
          <w:szCs w:val="24"/>
          <w:rFonts w:ascii="ABC Arizona Flare" w:cs="ABC Arizona Flare" w:eastAsia="ABC Arizona Flare" w:hAnsi="ABC Arizona Flare"/>
        </w:rPr>
        <w:t xml:space="preserve">Step 6 — Export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Export produces one Word document per fee type, named automatically: </w:t>
      </w:r>
      <w:r>
        <w:rPr>
          <w:b/>
          <w:bCs/>
          <w:color w:val="1a1a1a"/>
          <w:sz w:val="21"/>
          <w:szCs w:val="21"/>
          <w:rFonts w:ascii="Nunito Sans" w:cs="Nunito Sans" w:eastAsia="Nunito Sans" w:hAnsi="Nunito Sans"/>
        </w:rPr>
        <w:t xml:space="preserve">"MWS Tax Invoice Retainer FY25-26 - John Smith"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 / </w:t>
      </w:r>
      <w:r>
        <w:rPr>
          <w:b/>
          <w:bCs/>
          <w:color w:val="1a1a1a"/>
          <w:sz w:val="21"/>
          <w:szCs w:val="21"/>
          <w:rFonts w:ascii="Nunito Sans" w:cs="Nunito Sans" w:eastAsia="Nunito Sans" w:hAnsi="Nunito Sans"/>
        </w:rPr>
        <w:t xml:space="preserve">"MWS Tax Invoice Ongoing FY25-26 - John Smith"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.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Each export is logged automatically in the register with its invoice number.</w:t>
      </w:r>
    </w:p>
    <w:p>
      <w:pPr>
        <w:pStyle w:val="ListParagraph"/>
        <w:numPr>
          <w:ilvl w:val="0"/>
          <w:numId w:val="3"/>
        </w:numPr>
        <w:spacing w:before="40" w:after="6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Review the Word document before sending — the summary table starts on a new page if it would be cut off; check nothing else needs adjusting.</w:t>
      </w:r>
    </w:p>
    <w:p>
      <w:pPr>
        <w:pStyle w:val="Heading1"/>
        <w:spacing w:before="260" w:after="100"/>
      </w:pPr>
      <w:r>
        <w:rPr>
          <w:b/>
          <w:bCs/>
          <w:color w:val="0C2E3F"/>
          <w:sz w:val="30"/>
          <w:szCs w:val="30"/>
          <w:rFonts w:ascii="ABC Arizona Flare" w:cs="ABC Arizona Flare" w:eastAsia="ABC Arizona Flare" w:hAnsi="ABC Arizona Flare"/>
        </w:rPr>
        <w:t xml:space="preserve">5. Invoice Register (History Tab)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Every exported invoice is recorded with its auto-generated invoice number, client, fee type, FY, amounts and date.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Download the register as CSV or JSON periodically and file it with practice records.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The register lives in the browser on that computer — it is not shared between machines. Nominate one machine (or one person) as the register of record, or consolidate the CSV downloads.</w:t>
      </w:r>
    </w:p>
    <w:p>
      <w:pPr>
        <w:pStyle w:val="Heading1"/>
        <w:spacing w:before="260" w:after="100"/>
      </w:pPr>
      <w:r>
        <w:rPr>
          <w:b/>
          <w:bCs/>
          <w:color w:val="0C2E3F"/>
          <w:sz w:val="30"/>
          <w:szCs w:val="30"/>
          <w:rFonts w:ascii="ABC Arizona Flare" w:cs="ABC Arizona Flare" w:eastAsia="ABC Arizona Flare" w:hAnsi="ABC Arizona Flare"/>
        </w:rPr>
        <w:t xml:space="preserve">6. The Tax Framework (Summary)</w:t>
      </w:r>
    </w:p>
    <w:tbl>
      <w:tblPr>
        <w:tblW w:type="dxa" w:w="9026"/>
        <w:tblBorders>
          <w:top w:val="single" w:color="D4E2EE" w:sz="4"/>
          <w:left w:val="single" w:color="D4E2EE" w:sz="4"/>
          <w:bottom w:val="single" w:color="D4E2EE" w:sz="4"/>
          <w:right w:val="single" w:color="D4E2EE" w:sz="4"/>
          <w:insideH w:val="single" w:color="D4E2EE" w:sz="4"/>
          <w:insideV w:val="single" w:color="D4E2EE" w:sz="4"/>
        </w:tblBorders>
      </w:tblPr>
      <w:tblGrid>
        <w:gridCol w:w="2300"/>
        <w:gridCol w:w="6726"/>
      </w:tblGrid>
      <w:tr>
        <w:tc>
          <w:tcPr>
            <w:tcW w:type="dxa" w:w="2300"/>
            <w:shd w:fill="E5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b/>
                <w:bCs/>
                <w:color w:val="0C2E3F"/>
                <w:sz w:val="20"/>
                <w:szCs w:val="20"/>
                <w:rFonts w:ascii="Nunito Sans" w:cs="Nunito Sans" w:eastAsia="Nunito Sans" w:hAnsi="Nunito Sans"/>
              </w:rPr>
              <w:t xml:space="preserve">s8-1 ITAA 1997</w:t>
            </w:r>
          </w:p>
        </w:tc>
        <w:tc>
          <w:tcPr>
            <w:tcW w:type="dxa" w:w="6726"/>
            <w:shd w:fill="E5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 w:line="276"/>
            </w:pPr>
            <w:r>
              <w:rPr>
                <w:color w:val="1a1a1a"/>
                <w:sz w:val="20"/>
                <w:szCs w:val="20"/>
                <w:rFonts w:ascii="Nunito Sans" w:cs="Nunito Sans" w:eastAsia="Nunito Sans" w:hAnsi="Nunito Sans"/>
              </w:rPr>
              <w:t xml:space="preserve">Deductible where the fee relates to managing existing income-producing investments (e.g. reviewing an existing portfolio, ongoing super advice). This is the default basis in the tool where it is correct.</w:t>
            </w:r>
          </w:p>
        </w:tc>
      </w:tr>
      <w:tr>
        <w:tc>
          <w:tcPr>
            <w:tcW w:type="dxa" w:w="2300"/>
            <w:shd w:fill="EA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b/>
                <w:bCs/>
                <w:color w:val="0C2E3F"/>
                <w:sz w:val="20"/>
                <w:szCs w:val="20"/>
                <w:rFonts w:ascii="Nunito Sans" w:cs="Nunito Sans" w:eastAsia="Nunito Sans" w:hAnsi="Nunito Sans"/>
              </w:rPr>
              <w:t xml:space="preserve">s25-5 ITAA 1997</w:t>
            </w:r>
          </w:p>
        </w:tc>
        <w:tc>
          <w:tcPr>
            <w:tcW w:type="dxa" w:w="6726"/>
            <w:shd w:fill="EA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 w:line="276"/>
            </w:pPr>
            <w:r>
              <w:rPr>
                <w:color w:val="1a1a1a"/>
                <w:sz w:val="20"/>
                <w:szCs w:val="20"/>
                <w:rFonts w:ascii="Nunito Sans" w:cs="Nunito Sans" w:eastAsia="Nunito Sans" w:hAnsi="Nunito Sans"/>
              </w:rPr>
              <w:t xml:space="preserve">Deductible as "managing tax affairs" ONLY where the advice is tax (financial) advice AND given by a registered tax agent or QTRP. Used only where it is genuinely the only available basis.</w:t>
            </w:r>
          </w:p>
        </w:tc>
      </w:tr>
      <w:tr>
        <w:tc>
          <w:tcPr>
            <w:tcW w:type="dxa" w:w="2300"/>
            <w:shd w:fill="E5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b/>
                <w:bCs/>
                <w:color w:val="0C2E3F"/>
                <w:sz w:val="20"/>
                <w:szCs w:val="20"/>
                <w:rFonts w:ascii="Nunito Sans" w:cs="Nunito Sans" w:eastAsia="Nunito Sans" w:hAnsi="Nunito Sans"/>
              </w:rPr>
              <w:t xml:space="preserve">Not deductible</w:t>
            </w:r>
          </w:p>
        </w:tc>
        <w:tc>
          <w:tcPr>
            <w:tcW w:type="dxa" w:w="6726"/>
            <w:shd w:fill="E5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 w:line="276"/>
            </w:pPr>
            <w:r>
              <w:rPr>
                <w:color w:val="1a1a1a"/>
                <w:sz w:val="20"/>
                <w:szCs w:val="20"/>
                <w:rFonts w:ascii="Nunito Sans" w:cs="Nunito Sans" w:eastAsia="Nunito Sans" w:hAnsi="Nunito Sans"/>
              </w:rPr>
              <w:t xml:space="preserve">Fees for establishing new investments/accounts, insurance placement, estate planning documents, and other capital or private matters.</w:t>
            </w:r>
          </w:p>
        </w:tc>
      </w:tr>
      <w:tr>
        <w:tc>
          <w:tcPr>
            <w:tcW w:type="dxa" w:w="2300"/>
            <w:shd w:fill="EA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b/>
                <w:bCs/>
                <w:color w:val="0C2E3F"/>
                <w:sz w:val="20"/>
                <w:szCs w:val="20"/>
                <w:rFonts w:ascii="Nunito Sans" w:cs="Nunito Sans" w:eastAsia="Nunito Sans" w:hAnsi="Nunito Sans"/>
              </w:rPr>
              <w:t xml:space="preserve">TD 2024/7</w:t>
            </w:r>
          </w:p>
        </w:tc>
        <w:tc>
          <w:tcPr>
            <w:tcW w:type="dxa" w:w="6726"/>
            <w:shd w:fill="EAF4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 w:line="276"/>
            </w:pPr>
            <w:r>
              <w:rPr>
                <w:color w:val="1a1a1a"/>
                <w:sz w:val="20"/>
                <w:szCs w:val="20"/>
                <w:rFonts w:ascii="Nunito Sans" w:cs="Nunito Sans" w:eastAsia="Nunito Sans" w:hAnsi="Nunito Sans"/>
              </w:rPr>
              <w:t xml:space="preserve">Apportionment must be fair and reasonable and supported by an itemised invoice — which is what this generator produces.</w:t>
            </w:r>
          </w:p>
        </w:tc>
      </w:tr>
    </w:tbl>
    <w:p>
      <w:pPr>
        <w:spacing w:before="0" w:after="60"/>
      </w:pPr>
    </w:p>
    <w:p>
      <w:pPr>
        <w:pStyle w:val="Heading1"/>
        <w:spacing w:before="260" w:after="100"/>
      </w:pPr>
      <w:r>
        <w:rPr>
          <w:b/>
          <w:bCs/>
          <w:color w:val="0C2E3F"/>
          <w:sz w:val="30"/>
          <w:szCs w:val="30"/>
          <w:rFonts w:ascii="ABC Arizona Flare" w:cs="ABC Arizona Flare" w:eastAsia="ABC Arizona Flare" w:hAnsi="ABC Arizona Flare"/>
        </w:rPr>
        <w:t xml:space="preserve">7. Do &amp; Don't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/>
          <w:bCs/>
          <w:color w:val="1E7B4D"/>
          <w:sz w:val="21"/>
          <w:szCs w:val="21"/>
          <w:rFonts w:ascii="Nunito Sans" w:cs="Nunito Sans" w:eastAsia="Nunito Sans" w:hAnsi="Nunito Sans"/>
        </w:rPr>
        <w:t xml:space="preserve">DO 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keep the SOA / wealth review used for the apportionment with the client file.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/>
          <w:bCs/>
          <w:color w:val="1E7B4D"/>
          <w:sz w:val="21"/>
          <w:szCs w:val="21"/>
          <w:rFonts w:ascii="Nunito Sans" w:cs="Nunito Sans" w:eastAsia="Nunito Sans" w:hAnsi="Nunito Sans"/>
        </w:rPr>
        <w:t xml:space="preserve">DO 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use Undo (Ctrl+Z) / Redo (Ctrl+Y) rather than starting over; Reset clears the current invoice only.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/>
          <w:bCs/>
          <w:color w:val="F56A5A"/>
          <w:sz w:val="21"/>
          <w:szCs w:val="21"/>
          <w:rFonts w:ascii="Nunito Sans" w:cs="Nunito Sans" w:eastAsia="Nunito Sans" w:hAnsi="Nunito Sans"/>
        </w:rPr>
        <w:t xml:space="preserve">DON'T 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merge retainer and ongoing fees into one invoice — they are always issued separately.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/>
          <w:bCs/>
          <w:color w:val="F56A5A"/>
          <w:sz w:val="21"/>
          <w:szCs w:val="21"/>
          <w:rFonts w:ascii="Nunito Sans" w:cs="Nunito Sans" w:eastAsia="Nunito Sans" w:hAnsi="Nunito Sans"/>
        </w:rPr>
        <w:t xml:space="preserve">DON'T 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override the conservative deductible defaults upward without a documented reason.</w:t>
      </w:r>
    </w:p>
    <w:p>
      <w:pPr>
        <w:pStyle w:val="ListParagraph"/>
        <w:numPr>
          <w:ilvl w:val="0"/>
          <w:numId w:val="2"/>
        </w:numPr>
        <w:spacing w:before="20" w:after="40" w:line="276"/>
      </w:pPr>
      <w:r>
        <w:rPr>
          <w:b/>
          <w:bCs/>
          <w:color w:val="F56A5A"/>
          <w:sz w:val="21"/>
          <w:szCs w:val="21"/>
          <w:rFonts w:ascii="Nunito Sans" w:cs="Nunito Sans" w:eastAsia="Nunito Sans" w:hAnsi="Nunito Sans"/>
        </w:rPr>
        <w:t xml:space="preserve">DON'T </w:t>
      </w:r>
      <w:r>
        <w:rPr>
          <w:b w:val="false"/>
          <w:bCs w:val="false"/>
          <w:color w:val="1a1a1a"/>
          <w:sz w:val="21"/>
          <w:szCs w:val="21"/>
          <w:rFonts w:ascii="Nunito Sans" w:cs="Nunito Sans" w:eastAsia="Nunito Sans" w:hAnsi="Nunito Sans"/>
        </w:rPr>
        <w:t xml:space="preserve">issue an invoice with s25-5 strategies unless the adviser is a registered tax agent or QTRP.</w:t>
      </w:r>
    </w:p>
    <w:p>
      <w:pPr>
        <w:spacing w:before="160" w:after="80" w:line="276"/>
      </w:pPr>
      <w:r>
        <w:rPr>
          <w:b w:val="false"/>
          <w:bCs w:val="false"/>
          <w:i/>
          <w:iCs/>
          <w:color w:val="5a6b76"/>
          <w:sz w:val="19"/>
          <w:szCs w:val="19"/>
          <w:rFonts w:ascii="Nunito Sans" w:cs="Nunito Sans" w:eastAsia="Nunito Sans" w:hAnsi="Nunito Sans"/>
        </w:rPr>
        <w:t xml:space="preserve">This SOP describes how to operate the generator. It is not tax advice — where a client's deductibility position is unusual, refer to the client's accountant.</w:t>
      </w:r>
    </w:p>
    <w:sectPr>
      <w:pgSz w:w="11906" w:h="16838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Nunito Sans" w:cs="Nunito Sans" w:eastAsia="Nunito Sans" w:hAnsi="Nunito San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2026-07-22T05:04:41.317Z</dcterms:created>
  <dcterms:modified xsi:type="dcterms:W3CDTF">2026-07-22T05:04:41.317Z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