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0 · Client framing &amp; scope</w:t>
      </w:r>
    </w:p>
    <w:p>
      <w:r>
        <w:rPr>
          <w:i/>
          <w:color w:val="5B6B76"/>
          <w:sz w:val="18"/>
        </w:rPr>
        <w:t>Document-level wording. Triggered by whether the advice request marks the client NEW or EXISTING, and which areas are scoped in/out.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New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Existing / current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Risk profile — reviewed &amp; remains appropriate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 — reference by incorporation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establish/utilise an offset account against your home loan.</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 tax savings to offset (always-on)</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 to offset</w:t>
              <w:br/>
              <w:t>• surplus to offset</w:t>
              <w:br/>
              <w:t>• tax savings to offset</w:t>
            </w:r>
          </w:p>
        </w:tc>
      </w:tr>
      <w:tr>
        <w:tc>
          <w:tcPr>
            <w:tcW w:type="dxa" w:w="5256"/>
            <w:shd w:val="clear" w:fill="E5F4F6"/>
          </w:tcPr>
          <w:p>
            <w:r>
              <w:rPr>
                <w:b/>
                <w:color w:val="0C2E3F"/>
                <w:sz w:val="17"/>
              </w:rPr>
              <w:t>Always-on / Tailored</w:t>
            </w:r>
          </w:p>
        </w:tc>
        <w:tc>
          <w:tcPr>
            <w:tcW w:type="dxa" w:w="5256"/>
          </w:tcPr>
          <w:p>
            <w:r>
              <w:rPr>
                <w:sz w:val="19"/>
              </w:rPr>
              <w:t>Always-on (when debt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 direct all surplus income remaining after the recommendations made throughout this plan towards your existing home loan offset account. This is estimated to be $XXX per week.</w:t>
              <w:br/>
              <w:t>We recommend you direct all tax refunds towards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 On repayment of your home loan, redirecting your mortgage repayments to be invested will generate additional wealth estimated at $XXX over the remaining XX years of your plan.</w:t>
            </w:r>
          </w:p>
        </w:tc>
      </w:tr>
      <w:tr>
        <w:tc>
          <w:tcPr>
            <w:tcW w:type="dxa" w:w="5256"/>
            <w:shd w:val="clear" w:fill="E5F4F6"/>
          </w:tcPr>
          <w:p>
            <w:r>
              <w:rPr>
                <w:b/>
                <w:color w:val="0C2E3F"/>
                <w:sz w:val="17"/>
              </w:rPr>
              <w:t>Why / In line with your goals (bullets)</w:t>
            </w:r>
          </w:p>
        </w:tc>
        <w:tc>
          <w:tcPr>
            <w:tcW w:type="dxa" w:w="5256"/>
          </w:tcPr>
          <w:p>
            <w:r>
              <w:rPr>
                <w:sz w:val="19"/>
              </w:rPr>
              <w:t>• (uses the standard offset 'why' bullets above)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If the loan interest rate is variable, an increase in interest rates will result in an increase in interest repayments, which may place some strain on your cash flow;</w:t>
            </w:r>
          </w:p>
        </w:tc>
      </w:tr>
      <w:tr>
        <w:tc>
          <w:tcPr>
            <w:tcW w:type="dxa" w:w="5256"/>
            <w:shd w:val="clear" w:fill="E5F4F6"/>
          </w:tcPr>
          <w:p>
            <w:r>
              <w:rPr>
                <w:b/>
                <w:color w:val="0C2E3F"/>
                <w:sz w:val="17"/>
              </w:rPr>
              <w:t>Alternatives (bullets)</w:t>
            </w:r>
          </w:p>
        </w:tc>
        <w:tc>
          <w:tcPr>
            <w:tcW w:type="dxa" w:w="5256"/>
          </w:tcPr>
          <w:p>
            <w:r>
              <w:rPr>
                <w:sz w:val="19"/>
              </w:rPr>
              <w:t>• (uses the standard offset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consolidating your existing [personal loan / credit card] of {amt} into your home loan.</w:t>
            </w:r>
          </w:p>
        </w:tc>
      </w:tr>
      <w:tr>
        <w:tc>
          <w:tcPr>
            <w:tcW w:type="dxa" w:w="5256"/>
            <w:shd w:val="clear" w:fill="E5F4F6"/>
          </w:tcPr>
          <w:p>
            <w:r>
              <w:rPr>
                <w:b/>
                <w:color w:val="0C2E3F"/>
                <w:sz w:val="17"/>
              </w:rPr>
              <w:t>Summary – Outcomes line</w:t>
            </w:r>
          </w:p>
        </w:tc>
        <w:tc>
          <w:tcPr>
            <w:tcW w:type="dxa" w:w="5256"/>
          </w:tcPr>
          <w:p>
            <w:r>
              <w:rPr>
                <w:color w:val="B8860B"/>
                <w:sz w:val="19"/>
              </w:rPr>
              <w:t>Consolidating higher‑interest personal debt into your home loan will reduce your overall borrowing costs and simplify the management of your debts.</w:t>
            </w:r>
          </w:p>
        </w:tc>
      </w:tr>
      <w:tr>
        <w:tc>
          <w:tcPr>
            <w:tcW w:type="dxa" w:w="5256"/>
            <w:shd w:val="clear" w:fill="E5F4F6"/>
          </w:tcPr>
          <w:p>
            <w:r>
              <w:rPr>
                <w:b/>
                <w:color w:val="0C2E3F"/>
                <w:sz w:val="17"/>
              </w:rPr>
              <w:t>Why / In line with your goals (bullets)</w:t>
            </w:r>
          </w:p>
        </w:tc>
        <w:tc>
          <w:tcPr>
            <w:tcW w:type="dxa" w:w="5256"/>
          </w:tcPr>
          <w:p>
            <w:r>
              <w:rPr>
                <w:color w:val="B8860B"/>
                <w:sz w:val="19"/>
              </w:rPr>
              <w:t>• Replaces higher‑interest consumer debt with lower‑interest home loan debt and simplifies repayments.</w:t>
            </w:r>
          </w:p>
        </w:tc>
      </w:tr>
      <w:tr>
        <w:tc>
          <w:tcPr>
            <w:tcW w:type="dxa" w:w="5256"/>
            <w:shd w:val="clear" w:fill="E5F4F6"/>
          </w:tcPr>
          <w:p>
            <w:r>
              <w:rPr>
                <w:b/>
                <w:color w:val="0C2E3F"/>
                <w:sz w:val="17"/>
              </w:rPr>
              <w:t>Risks &amp; Disadvantages (bullets)</w:t>
            </w:r>
          </w:p>
        </w:tc>
        <w:tc>
          <w:tcPr>
            <w:tcW w:type="dxa" w:w="5256"/>
          </w:tcPr>
          <w:p>
            <w:r>
              <w:rPr>
                <w:color w:val="B8860B"/>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color w:val="B8860B"/>
                <w:sz w:val="19"/>
              </w:rPr>
              <w:t>• We considered retaining the existing facility. This was not recommended as consolidation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use your inheritance of {amt} to reduce your home loan.</w:t>
            </w:r>
          </w:p>
        </w:tc>
      </w:tr>
      <w:tr>
        <w:tc>
          <w:tcPr>
            <w:tcW w:type="dxa" w:w="5256"/>
            <w:shd w:val="clear" w:fill="E5F4F6"/>
          </w:tcPr>
          <w:p>
            <w:r>
              <w:rPr>
                <w:b/>
                <w:color w:val="0C2E3F"/>
                <w:sz w:val="17"/>
              </w:rPr>
              <w:t>Summary – Outcomes line</w:t>
            </w:r>
          </w:p>
        </w:tc>
        <w:tc>
          <w:tcPr>
            <w:tcW w:type="dxa" w:w="5256"/>
          </w:tcPr>
          <w:p>
            <w:r>
              <w:rPr>
                <w:color w:val="B8860B"/>
                <w:sz w:val="19"/>
              </w:rPr>
              <w:t>Applying your inheritance to your home loan reduces non‑deductible debt, lowers your interest cost and releases equity for future investment.</w:t>
            </w:r>
          </w:p>
        </w:tc>
      </w:tr>
      <w:tr>
        <w:tc>
          <w:tcPr>
            <w:tcW w:type="dxa" w:w="5256"/>
            <w:shd w:val="clear" w:fill="E5F4F6"/>
          </w:tcPr>
          <w:p>
            <w:r>
              <w:rPr>
                <w:b/>
                <w:color w:val="0C2E3F"/>
                <w:sz w:val="17"/>
              </w:rPr>
              <w:t>Why / In line with your goals (bullets)</w:t>
            </w:r>
          </w:p>
        </w:tc>
        <w:tc>
          <w:tcPr>
            <w:tcW w:type="dxa" w:w="5256"/>
          </w:tcPr>
          <w:p>
            <w:r>
              <w:rPr>
                <w:color w:val="B8860B"/>
                <w:sz w:val="19"/>
              </w:rPr>
              <w:t>• Reduces bad (non‑deductible) debt, improves cashflow and brings forward the date your home loan is repaid.</w:t>
            </w:r>
          </w:p>
        </w:tc>
      </w:tr>
      <w:tr>
        <w:tc>
          <w:tcPr>
            <w:tcW w:type="dxa" w:w="5256"/>
            <w:shd w:val="clear" w:fill="E5F4F6"/>
          </w:tcPr>
          <w:p>
            <w:r>
              <w:rPr>
                <w:b/>
                <w:color w:val="0C2E3F"/>
                <w:sz w:val="17"/>
              </w:rPr>
              <w:t>Risks &amp; Disadvantages (bullets)</w:t>
            </w:r>
          </w:p>
        </w:tc>
        <w:tc>
          <w:tcPr>
            <w:tcW w:type="dxa" w:w="5256"/>
          </w:tcPr>
          <w:p>
            <w:r>
              <w:rPr>
                <w:color w:val="B8860B"/>
                <w:sz w:val="19"/>
              </w:rPr>
              <w:t>• Applying the funds to debt reduces your available liquidity; consider retaining an appropriate cash buffer for emergencies.</w:t>
            </w:r>
          </w:p>
        </w:tc>
      </w:tr>
      <w:tr>
        <w:tc>
          <w:tcPr>
            <w:tcW w:type="dxa" w:w="5256"/>
            <w:shd w:val="clear" w:fill="E5F4F6"/>
          </w:tcPr>
          <w:p>
            <w:r>
              <w:rPr>
                <w:b/>
                <w:color w:val="0C2E3F"/>
                <w:sz w:val="17"/>
              </w:rPr>
              <w:t>Alternatives (bullets)</w:t>
            </w:r>
          </w:p>
        </w:tc>
        <w:tc>
          <w:tcPr>
            <w:tcW w:type="dxa" w:w="5256"/>
          </w:tcPr>
          <w:p>
            <w:r>
              <w:rPr>
                <w:color w:val="B8860B"/>
                <w:sz w:val="19"/>
              </w:rPr>
              <w:t>• We considered investing the inheritance instead of reducing the home loan. This was not recommended as reducing non‑deductible debt provides a certain, tax‑effective return equal to your home loan interest rate.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Switch home loan from principal &amp; interest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refinance your home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upgrade</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home for an estimated $XXX and use the net proceeds towards the purchase of a new home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Upgrading your home meets your lifestyle goals while we structure the remaining borrowings efficiently.</w:t>
            </w:r>
          </w:p>
        </w:tc>
      </w:tr>
      <w:tr>
        <w:tc>
          <w:tcPr>
            <w:tcW w:type="dxa" w:w="5256"/>
            <w:shd w:val="clear" w:fill="E5F4F6"/>
          </w:tcPr>
          <w:p>
            <w:r>
              <w:rPr>
                <w:b/>
                <w:color w:val="0C2E3F"/>
                <w:sz w:val="17"/>
              </w:rPr>
              <w:t>Why / In line with your goals (bullets)</w:t>
            </w:r>
          </w:p>
        </w:tc>
        <w:tc>
          <w:tcPr>
            <w:tcW w:type="dxa" w:w="5256"/>
          </w:tcPr>
          <w:p>
            <w:r>
              <w:rPr>
                <w:color w:val="B8860B"/>
                <w:sz w:val="19"/>
              </w:rPr>
              <w:t>• Meets your lifestyle/family goals.</w:t>
              <w:br/>
              <w:t>• Net proceeds from the existing home reduce the new home borrowings.</w:t>
            </w:r>
          </w:p>
        </w:tc>
      </w:tr>
      <w:tr>
        <w:tc>
          <w:tcPr>
            <w:tcW w:type="dxa" w:w="5256"/>
            <w:shd w:val="clear" w:fill="E5F4F6"/>
          </w:tcPr>
          <w:p>
            <w:r>
              <w:rPr>
                <w:b/>
                <w:color w:val="0C2E3F"/>
                <w:sz w:val="17"/>
              </w:rPr>
              <w:t>Risks &amp; Disadvantages (bullets)</w:t>
            </w:r>
          </w:p>
        </w:tc>
        <w:tc>
          <w:tcPr>
            <w:tcW w:type="dxa" w:w="5256"/>
          </w:tcPr>
          <w:p>
            <w:r>
              <w:rPr>
                <w:color w:val="B8860B"/>
                <w:sz w:val="19"/>
              </w:rPr>
              <w:t>• Transaction costs (agent, legals, stamp duty) apply.</w:t>
              <w:br/>
              <w:t>• A larger non‑deductible home loan may reduce surplus available for investment.</w:t>
              <w:br/>
              <w:t>• Timing risk between sale and purchase; bridging finance may be required.</w:t>
            </w:r>
          </w:p>
        </w:tc>
      </w:tr>
      <w:tr>
        <w:tc>
          <w:tcPr>
            <w:tcW w:type="dxa" w:w="5256"/>
            <w:shd w:val="clear" w:fill="E5F4F6"/>
          </w:tcPr>
          <w:p>
            <w:r>
              <w:rPr>
                <w:b/>
                <w:color w:val="0C2E3F"/>
                <w:sz w:val="17"/>
              </w:rPr>
              <w:t>Alternatives (bullets)</w:t>
            </w:r>
          </w:p>
        </w:tc>
        <w:tc>
          <w:tcPr>
            <w:tcW w:type="dxa" w:w="5256"/>
          </w:tcPr>
          <w:p>
            <w:r>
              <w:rPr>
                <w:color w:val="B8860B"/>
                <w:sz w:val="19"/>
              </w:rPr>
              <w:t>• Renovate/retain the existing home instead of upgrading — discounted where it does not meet your needs.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existing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investment property at [address].</w:t>
            </w:r>
          </w:p>
        </w:tc>
      </w:tr>
      <w:tr>
        <w:tc>
          <w:tcPr>
            <w:tcW w:type="dxa" w:w="5256"/>
            <w:shd w:val="clear" w:fill="E5F4F6"/>
          </w:tcPr>
          <w:p>
            <w:r>
              <w:rPr>
                <w:b/>
                <w:color w:val="0C2E3F"/>
                <w:sz w:val="17"/>
              </w:rPr>
              <w:t>Summary – Outcomes line</w:t>
            </w:r>
          </w:p>
        </w:tc>
        <w:tc>
          <w:tcPr>
            <w:tcW w:type="dxa" w:w="5256"/>
          </w:tcPr>
          <w:p>
            <w:r>
              <w:rPr>
                <w:color w:val="B8860B"/>
                <w:sz w:val="19"/>
              </w:rPr>
              <w:t>Retaining your investment property maintains a growth asset and its associated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Maintains a long‑term growth asset and rental income.</w:t>
              <w:br/>
              <w:t>• Avoids transaction costs and capital gains tax that a sale would trigger.</w:t>
            </w:r>
          </w:p>
        </w:tc>
      </w:tr>
      <w:tr>
        <w:tc>
          <w:tcPr>
            <w:tcW w:type="dxa" w:w="5256"/>
            <w:shd w:val="clear" w:fill="E5F4F6"/>
          </w:tcPr>
          <w:p>
            <w:r>
              <w:rPr>
                <w:b/>
                <w:color w:val="0C2E3F"/>
                <w:sz w:val="17"/>
              </w:rPr>
              <w:t>Risks &amp; Disadvantages (bullets)</w:t>
            </w:r>
          </w:p>
        </w:tc>
        <w:tc>
          <w:tcPr>
            <w:tcW w:type="dxa" w:w="5256"/>
          </w:tcPr>
          <w:p>
            <w:r>
              <w:rPr>
                <w:color w:val="B8860B"/>
                <w:sz w:val="19"/>
              </w:rPr>
              <w:t>• Property is illiquid and concentrated; values and rent can fall.</w:t>
              <w:br/>
              <w:t>• Ongoing holding costs and interest‑rate risk apply.</w:t>
            </w:r>
          </w:p>
        </w:tc>
      </w:tr>
      <w:tr>
        <w:tc>
          <w:tcPr>
            <w:tcW w:type="dxa" w:w="5256"/>
            <w:shd w:val="clear" w:fill="E5F4F6"/>
          </w:tcPr>
          <w:p>
            <w:r>
              <w:rPr>
                <w:b/>
                <w:color w:val="0C2E3F"/>
                <w:sz w:val="17"/>
              </w:rPr>
              <w:t>Alternatives (bullets)</w:t>
            </w:r>
          </w:p>
        </w:tc>
        <w:tc>
          <w:tcPr>
            <w:tcW w:type="dxa" w:w="5256"/>
          </w:tcPr>
          <w:p>
            <w:r>
              <w:rPr>
                <w:color w:val="B8860B"/>
                <w:sz w:val="19"/>
              </w:rPr>
              <w:t>• Sell the property and redeploy the proceeds — discounted where retention better suits your goals and avoids CGT/transaction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 home</w:t>
              <w:br/>
              <w:t>• downsizer 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home and use part of the proceeds to make a downsizer contribution of up to $300,000 each ($600,000 combined) to superannuation, with the balance directed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Downsizing releases equity for retirement and allows a tax‑effective contribution to superannuation outside the standard caps.</w:t>
            </w:r>
          </w:p>
        </w:tc>
      </w:tr>
      <w:tr>
        <w:tc>
          <w:tcPr>
            <w:tcW w:type="dxa" w:w="5256"/>
            <w:shd w:val="clear" w:fill="E5F4F6"/>
          </w:tcPr>
          <w:p>
            <w:r>
              <w:rPr>
                <w:b/>
                <w:color w:val="0C2E3F"/>
                <w:sz w:val="17"/>
              </w:rPr>
              <w:t>Why / In line with your goals (bullets)</w:t>
            </w:r>
          </w:p>
        </w:tc>
        <w:tc>
          <w:tcPr>
            <w:tcW w:type="dxa" w:w="5256"/>
          </w:tcPr>
          <w:p>
            <w:r>
              <w:rPr>
                <w:color w:val="B8860B"/>
                <w:sz w:val="19"/>
              </w:rPr>
              <w:t>• A downsizer contribution does not count toward your concessional or non‑concessional caps and is not subject to the work test.</w:t>
              <w:br/>
              <w:t>• Releases equity to fund retirement while right‑sizing your home.</w:t>
            </w:r>
          </w:p>
        </w:tc>
      </w:tr>
      <w:tr>
        <w:tc>
          <w:tcPr>
            <w:tcW w:type="dxa" w:w="5256"/>
            <w:shd w:val="clear" w:fill="E5F4F6"/>
          </w:tcPr>
          <w:p>
            <w:r>
              <w:rPr>
                <w:b/>
                <w:color w:val="0C2E3F"/>
                <w:sz w:val="17"/>
              </w:rPr>
              <w:t>Risks &amp; Disadvantages (bullets)</w:t>
            </w:r>
          </w:p>
        </w:tc>
        <w:tc>
          <w:tcPr>
            <w:tcW w:type="dxa" w:w="5256"/>
          </w:tcPr>
          <w:p>
            <w:r>
              <w:rPr>
                <w:color w:val="B8860B"/>
                <w:sz w:val="19"/>
              </w:rPr>
              <w:t>• A downsizer contribution counts toward your transfer balance cap when moved to pension phase and cannot be withdrawn until a condition of release is met.</w:t>
              <w:br/>
              <w:t>• Eligibility conditions apply (age, 10‑year ownership, made within 90 days of settlement).</w:t>
            </w:r>
          </w:p>
        </w:tc>
      </w:tr>
      <w:tr>
        <w:tc>
          <w:tcPr>
            <w:tcW w:type="dxa" w:w="5256"/>
            <w:shd w:val="clear" w:fill="E5F4F6"/>
          </w:tcPr>
          <w:p>
            <w:r>
              <w:rPr>
                <w:b/>
                <w:color w:val="0C2E3F"/>
                <w:sz w:val="17"/>
              </w:rPr>
              <w:t>Alternatives (bullets)</w:t>
            </w:r>
          </w:p>
        </w:tc>
        <w:tc>
          <w:tcPr>
            <w:tcW w:type="dxa" w:w="5256"/>
          </w:tcPr>
          <w:p>
            <w:r>
              <w:rPr>
                <w:color w:val="B8860B"/>
                <w:sz w:val="19"/>
              </w:rPr>
              <w:t>• Retain the home and fund retirement from other assets — discounted where downsizing better meets your goals.</w:t>
            </w:r>
          </w:p>
        </w:tc>
      </w:tr>
    </w:tbl>
    <w:p/>
    <w:p>
      <w:pPr>
        <w:spacing w:after="120" w:before="200"/>
      </w:pPr>
      <w:r>
        <w:rPr>
          <w:b/>
          <w:color w:val="1F6FEB"/>
          <w:sz w:val="28"/>
        </w:rPr>
        <w:t>3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 Term Loan</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w:t>
              <w:br/>
              <w:t>• invest monthly</w:t>
              <w:br/>
              <w:t>• instalment gearing plan</w:t>
              <w:br/>
              <w:t>• invest from cashflow</w:t>
              <w:br/>
              <w:t>• invest from term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sz w:val="19"/>
              </w:rPr>
              <w:t>We recommend you invest the following amounts from your [cashflow / Term Loan]:</w:t>
              <w:br/>
              <w:t>• $XXX (Initial)</w:t>
              <w:br/>
              <w:t>• $XXX per month (Ongoing)</w:t>
              <w:br/>
              <w:t>• Elect to reinvest distributions.</w:t>
              <w:br/>
              <w:t>We recommend that the distributions from your investment be reinvested.</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to achieve your goal of building wealth you will have access to prior to reaching superannuation preservation age.</w:t>
              <w:br/>
              <w:t>• You will benefit from dollar cost averaging — drip feeding funds into the market over time to smooth out market volatility and reduce your downside risk.</w:t>
              <w:br/>
              <w:t>• The CARE portfolio will provide Professional Active Management on a day-to-day basis to provide the potential for greater returns and wealth preservation.</w:t>
              <w:br/>
              <w:t>• You can access all or part of your funds if you need to do so.</w:t>
              <w:br/>
              <w:t>• Additional Benefits: Investing in an investment fund means you can access a wider range of investments than direct investment, ensuring a diversified portfolio.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Note: You will still have to pay tax on any investment profits and declare these in your tax return and pay for it from your cashflow.</w:t>
              <w:br/>
              <w:t>• Investment funds involve some investment risk and do not guarantee your returns. The value of your investments might not increase as you would like and their value may even fall at times.</w:t>
              <w:br/>
              <w:t>• By investing your cash into an investment fund instead of a bank account you lose capital stability and a known rate of return. You also lose access to the government guarantee on deposits up to $250,000.</w:t>
              <w:br/>
              <w:t>• (if geared from a Term Loan, add the full gearing risk list — see Debt: Term Loan / debt recycling)</w:t>
            </w:r>
          </w:p>
        </w:tc>
      </w:tr>
      <w:tr>
        <w:tc>
          <w:tcPr>
            <w:tcW w:type="dxa" w:w="5256"/>
            <w:shd w:val="clear" w:fill="E5F4F6"/>
          </w:tcPr>
          <w:p>
            <w:r>
              <w:rPr>
                <w:b/>
                <w:color w:val="0C2E3F"/>
                <w:sz w:val="17"/>
              </w:rPr>
              <w:t>Alternatives (bullets)</w:t>
            </w:r>
          </w:p>
        </w:tc>
        <w:tc>
          <w:tcPr>
            <w:tcW w:type="dxa" w:w="5256"/>
          </w:tcPr>
          <w:p>
            <w:r>
              <w:rPr>
                <w:sz w:val="19"/>
              </w:rPr>
              <w:t>• We considered you making salary sacrifice contributions to superannuation rather than investing in the recommended investment fund. I have discounted this strategy as funds in superannuation are not generally accessible unless specific conditions of release are met...</w:t>
              <w:br/>
              <w:t>• We considered firstly a traditional diversified portfolio but this will not provide the separate components to smooth out volatility (at market extremes) and provide for your personalised liquidity requirements.</w:t>
              <w:br/>
              <w:t>• We also considered a portfolio focused on outperforming and/or market timing, but this will increase the likelihood of you making bad decisions, particularly at extreme market conditions.</w:t>
              <w:br/>
              <w:t>• We considered using a broker and buying individual parcels of shares... discounted as investment funds do not provide the same high level of Professional Active Management and depth of diversification.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w:t>
            </w:r>
          </w:p>
        </w:tc>
      </w:tr>
      <w:tr>
        <w:tc>
          <w:tcPr>
            <w:tcW w:type="dxa" w:w="5256"/>
            <w:shd w:val="clear" w:fill="E5F4F6"/>
          </w:tcPr>
          <w:p>
            <w:r>
              <w:rPr>
                <w:b/>
                <w:color w:val="0C2E3F"/>
                <w:sz w:val="17"/>
              </w:rPr>
              <w:t>Figures it pulls ($ / %)</w:t>
            </w:r>
          </w:p>
        </w:tc>
        <w:tc>
          <w:tcPr>
            <w:tcW w:type="dxa" w:w="5256"/>
          </w:tcPr>
          <w:p>
            <w:r>
              <w:rPr>
                <w:sz w:val="19"/>
              </w:rPr>
              <w:t>{initial},{monthly}</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a new investment bond and invest $XXX initially and $XXX per month, invested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An investment bond provides a tax‑effective, long‑term investment structure that becomes tax paid after 10 years.</w:t>
            </w:r>
          </w:p>
        </w:tc>
      </w:tr>
      <w:tr>
        <w:tc>
          <w:tcPr>
            <w:tcW w:type="dxa" w:w="5256"/>
            <w:shd w:val="clear" w:fill="E5F4F6"/>
          </w:tcPr>
          <w:p>
            <w:r>
              <w:rPr>
                <w:b/>
                <w:color w:val="0C2E3F"/>
                <w:sz w:val="17"/>
              </w:rPr>
              <w:t>Why / In line with your goals (bullets)</w:t>
            </w:r>
          </w:p>
        </w:tc>
        <w:tc>
          <w:tcPr>
            <w:tcW w:type="dxa" w:w="5256"/>
          </w:tcPr>
          <w:p>
            <w:r>
              <w:rPr>
                <w:color w:val="B8860B"/>
                <w:sz w:val="19"/>
              </w:rPr>
              <w:t>• Earnings are taxed within the bond at up to 30% (not your marginal rate), and after 10 years withdrawals are tax‑free.</w:t>
              <w:br/>
              <w:t>• Useful for high‑income earners and for estate/education planning, with no contribution cap (subject to the 125% rule).</w:t>
            </w:r>
          </w:p>
        </w:tc>
      </w:tr>
      <w:tr>
        <w:tc>
          <w:tcPr>
            <w:tcW w:type="dxa" w:w="5256"/>
            <w:shd w:val="clear" w:fill="E5F4F6"/>
          </w:tcPr>
          <w:p>
            <w:r>
              <w:rPr>
                <w:b/>
                <w:color w:val="0C2E3F"/>
                <w:sz w:val="17"/>
              </w:rPr>
              <w:t>Risks &amp; Disadvantages (bullets)</w:t>
            </w:r>
          </w:p>
        </w:tc>
        <w:tc>
          <w:tcPr>
            <w:tcW w:type="dxa" w:w="5256"/>
          </w:tcPr>
          <w:p>
            <w:r>
              <w:rPr>
                <w:color w:val="B8860B"/>
                <w:sz w:val="19"/>
              </w:rPr>
              <w:t>• If you withdraw within the first 10 years some of the profits will be assessable, although you receive a 30% tax offset on the assessable amount.</w:t>
              <w:br/>
              <w:t>• If you contribute more than 125% of the previous year's contributions, the 10‑year period restarts.</w:t>
              <w:br/>
              <w:t>• Investment bonds involve investment risk and do not guarantee returns; you may pay a buy/sell spread.</w:t>
            </w:r>
          </w:p>
        </w:tc>
      </w:tr>
      <w:tr>
        <w:tc>
          <w:tcPr>
            <w:tcW w:type="dxa" w:w="5256"/>
            <w:shd w:val="clear" w:fill="E5F4F6"/>
          </w:tcPr>
          <w:p>
            <w:r>
              <w:rPr>
                <w:b/>
                <w:color w:val="0C2E3F"/>
                <w:sz w:val="17"/>
              </w:rPr>
              <w:t>Alternatives (bullets)</w:t>
            </w:r>
          </w:p>
        </w:tc>
        <w:tc>
          <w:tcPr>
            <w:tcW w:type="dxa" w:w="5256"/>
          </w:tcPr>
          <w:p>
            <w:r>
              <w:rPr>
                <w:color w:val="B8860B"/>
                <w:sz w:val="19"/>
              </w:rPr>
              <w:t>• Invest via a standard investment account — discounted where the client's marginal tax rate makes the bond's tax structure advantageous.</w:t>
              <w:br/>
              <w:t>• Contribute to superannuation — discounted where accessibility before preservation age is required.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an existing portfolio into the new account</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transferring your existing [CommSec] share portfolio into the new account in‑specie. The portfolio should then be invested as set out in the table below, with assets that cannot be internally netted sold down as part of the rebalance.</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an existing investment / asset</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p>
      <w:pPr>
        <w:spacing w:after="120" w:before="200"/>
      </w:pPr>
      <w:r>
        <w:rPr>
          <w:b/>
          <w:color w:val="1F6FEB"/>
          <w:sz w:val="28"/>
        </w:rPr>
        <w:t>4 ·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transferring your existing superannuation holdings in‑specie into the new fund, with assets that cannot be internally netted sold down as part of the rebalance.</w:t>
            </w:r>
          </w:p>
        </w:tc>
      </w:tr>
      <w:tr>
        <w:tc>
          <w:tcPr>
            <w:tcW w:type="dxa" w:w="5256"/>
            <w:shd w:val="clear" w:fill="E5F4F6"/>
          </w:tcPr>
          <w:p>
            <w:r>
              <w:rPr>
                <w:b/>
                <w:color w:val="0C2E3F"/>
                <w:sz w:val="17"/>
              </w:rPr>
              <w:t>Summary – Outcomes line</w:t>
            </w:r>
          </w:p>
        </w:tc>
        <w:tc>
          <w:tcPr>
            <w:tcW w:type="dxa" w:w="5256"/>
          </w:tcPr>
          <w:p>
            <w:r>
              <w:rPr>
                <w:sz w:val="19"/>
              </w:rPr>
              <w:t>An in‑specie transfer retains your holdings while bringing them under professional management, using internal netting to reduce CGT and transaction costs.</w:t>
            </w:r>
          </w:p>
        </w:tc>
      </w:tr>
      <w:tr>
        <w:tc>
          <w:tcPr>
            <w:tcW w:type="dxa" w:w="5256"/>
            <w:shd w:val="clear" w:fill="E5F4F6"/>
          </w:tcPr>
          <w:p>
            <w:r>
              <w:rPr>
                <w:b/>
                <w:color w:val="0C2E3F"/>
                <w:sz w:val="17"/>
              </w:rPr>
              <w:t>Why / In line with your goals (bullets)</w:t>
            </w:r>
          </w:p>
        </w:tc>
        <w:tc>
          <w:tcPr>
            <w:tcW w:type="dxa" w:w="5256"/>
          </w:tcPr>
          <w:p>
            <w:r>
              <w:rPr>
                <w:sz w:val="19"/>
              </w:rPr>
              <w:t>• Retains your holdings while moving to the recommended fund; internal netting reduces transaction costs and CGT.</w:t>
            </w:r>
          </w:p>
        </w:tc>
      </w:tr>
      <w:tr>
        <w:tc>
          <w:tcPr>
            <w:tcW w:type="dxa" w:w="5256"/>
            <w:shd w:val="clear" w:fill="E5F4F6"/>
          </w:tcPr>
          <w:p>
            <w:r>
              <w:rPr>
                <w:b/>
                <w:color w:val="0C2E3F"/>
                <w:sz w:val="17"/>
              </w:rPr>
              <w:t>Risks &amp; Disadvantages (bullets)</w:t>
            </w:r>
          </w:p>
        </w:tc>
        <w:tc>
          <w:tcPr>
            <w:tcW w:type="dxa" w:w="5256"/>
          </w:tcPr>
          <w:p>
            <w:r>
              <w:rPr>
                <w:sz w:val="19"/>
              </w:rPr>
              <w:t>• The remaining assets may need to be sold down as part of the rebalance, which may crystallise an estimated capital gain of $XXX and estimated tax liability of approximately $XXX (based on a 15% superannuation tax rate). Commencing pension phase prior to the rebalance may reduce the tax payable — please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 benefit entitlement and any valuable insurance held in the scheme.</w:t>
              <w:br/>
              <w:t>• Continuing concessional contributions helps reduce the effect of fees/premiums and provides net tax savings of approximately $XXX p.a.</w:t>
            </w:r>
          </w:p>
        </w:tc>
      </w:tr>
      <w:tr>
        <w:tc>
          <w:tcPr>
            <w:tcW w:type="dxa" w:w="5256"/>
            <w:shd w:val="clear" w:fill="E5F4F6"/>
          </w:tcPr>
          <w:p>
            <w:r>
              <w:rPr>
                <w:b/>
                <w:color w:val="0C2E3F"/>
                <w:sz w:val="17"/>
              </w:rPr>
              <w:t>Risks &amp; Disadvantages (bullets)</w:t>
            </w:r>
          </w:p>
        </w:tc>
        <w:tc>
          <w:tcPr>
            <w:tcW w:type="dxa" w:w="5256"/>
          </w:tcPr>
          <w:p>
            <w:r>
              <w:rPr>
                <w:sz w:val="19"/>
              </w:rP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[Name], we recommend you retain your existing Military Super (Member and Ancillary Benefit portion of $XXX, and the Employer Benefit portion of $XXX which is retained and scoped out) including the insurance arrangements held within this account, while you remain in service.</w:t>
            </w:r>
          </w:p>
        </w:tc>
      </w:tr>
      <w:tr>
        <w:tc>
          <w:tcPr>
            <w:tcW w:type="dxa" w:w="5256"/>
            <w:shd w:val="clear" w:fill="E5F4F6"/>
          </w:tcPr>
          <w:p>
            <w:r>
              <w:rPr>
                <w:b/>
                <w:color w:val="0C2E3F"/>
                <w:sz w:val="17"/>
              </w:rPr>
              <w:t>Summary – Outcomes line</w:t>
            </w:r>
          </w:p>
        </w:tc>
        <w:tc>
          <w:tcPr>
            <w:tcW w:type="dxa" w:w="5256"/>
          </w:tcPr>
          <w:p>
            <w:r>
              <w:rPr>
                <w:color w:val="B8860B"/>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color w:val="B8860B"/>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color w:val="B8860B"/>
                <w:sz w:val="19"/>
              </w:rPr>
              <w:t>• The employer/defined‑benefit portion is subject to specific scheme rules and preservation requirements which differ from accumulation superannuation and are scoped out of this advice.</w:t>
            </w:r>
          </w:p>
        </w:tc>
      </w:tr>
      <w:tr>
        <w:tc>
          <w:tcPr>
            <w:tcW w:type="dxa" w:w="5256"/>
            <w:shd w:val="clear" w:fill="E5F4F6"/>
          </w:tcPr>
          <w:p>
            <w:r>
              <w:rPr>
                <w:b/>
                <w:color w:val="0C2E3F"/>
                <w:sz w:val="17"/>
              </w:rPr>
              <w:t>Alternatives (bullets)</w:t>
            </w:r>
          </w:p>
        </w:tc>
        <w:tc>
          <w:tcPr>
            <w:tcW w:type="dxa" w:w="5256"/>
          </w:tcPr>
          <w:p>
            <w:r>
              <w:rPr>
                <w:color w:val="B8860B"/>
                <w:sz w:val="19"/>
              </w:rPr>
              <w:t>• Roll the member &amp; ancillary balance to an accumulation fund — considered where appropriate, but the employer/DB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manage an SMSF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color w:val="B8860B"/>
                <w:sz w:val="19"/>
              </w:rPr>
              <w:t>We recommend you convert your existing superannuation to a new Account-Based Pension and rebalance in line with your risk profile using the CARE philosophy, drawing a pension of approximately $XXX p.a.</w:t>
            </w:r>
          </w:p>
        </w:tc>
      </w:tr>
      <w:tr>
        <w:tc>
          <w:tcPr>
            <w:tcW w:type="dxa" w:w="5256"/>
            <w:shd w:val="clear" w:fill="E5F4F6"/>
          </w:tcPr>
          <w:p>
            <w:r>
              <w:rPr>
                <w:b/>
                <w:color w:val="0C2E3F"/>
                <w:sz w:val="17"/>
              </w:rPr>
              <w:t>Summary – Outcomes line</w:t>
            </w:r>
          </w:p>
        </w:tc>
        <w:tc>
          <w:tcPr>
            <w:tcW w:type="dxa" w:w="5256"/>
          </w:tcPr>
          <w:p>
            <w:r>
              <w:rPr>
                <w:color w:val="B8860B"/>
                <w:sz w:val="19"/>
              </w:rPr>
              <w:t>Commencing a pension provides tax‑free investment earnings within the fund and a tax‑effective income stream to fund your retirement.</w:t>
            </w:r>
          </w:p>
        </w:tc>
      </w:tr>
      <w:tr>
        <w:tc>
          <w:tcPr>
            <w:tcW w:type="dxa" w:w="5256"/>
            <w:shd w:val="clear" w:fill="E5F4F6"/>
          </w:tcPr>
          <w:p>
            <w:r>
              <w:rPr>
                <w:b/>
                <w:color w:val="0C2E3F"/>
                <w:sz w:val="17"/>
              </w:rPr>
              <w:t>Why / In line with your goals (bullets)</w:t>
            </w:r>
          </w:p>
        </w:tc>
        <w:tc>
          <w:tcPr>
            <w:tcW w:type="dxa" w:w="5256"/>
          </w:tcPr>
          <w:p>
            <w:r>
              <w:rPr>
                <w:color w:val="B8860B"/>
                <w:sz w:val="19"/>
              </w:rPr>
              <w:t>• Rolling over your accumulation balance to a pension account means all future earnings within the fund will be tax free.</w:t>
              <w:br/>
              <w:t>• Drawing an income stream will provide you with the funds required to maintain your lifestyle in line with your retirement goals.</w:t>
              <w:br/>
              <w:t>• Funding your lifestyle in this manner ensures you are drawing down your retirement capital in the most tax-efficient manner.</w:t>
            </w:r>
          </w:p>
        </w:tc>
      </w:tr>
      <w:tr>
        <w:tc>
          <w:tcPr>
            <w:tcW w:type="dxa" w:w="5256"/>
            <w:shd w:val="clear" w:fill="E5F4F6"/>
          </w:tcPr>
          <w:p>
            <w:r>
              <w:rPr>
                <w:b/>
                <w:color w:val="0C2E3F"/>
                <w:sz w:val="17"/>
              </w:rPr>
              <w:t>Risks &amp; Disadvantages (bullets)</w:t>
            </w:r>
          </w:p>
        </w:tc>
        <w:tc>
          <w:tcPr>
            <w:tcW w:type="dxa" w:w="5256"/>
          </w:tcPr>
          <w:p>
            <w:r>
              <w:rPr>
                <w:color w:val="B8860B"/>
                <w:sz w:val="19"/>
              </w:rPr>
              <w:t>• Amounts moved to pension phase count toward your transfer balance cap.</w:t>
              <w:br/>
              <w:t>• Minimum annual pension payments must be drawn; legislation may change.</w:t>
            </w:r>
          </w:p>
        </w:tc>
      </w:tr>
      <w:tr>
        <w:tc>
          <w:tcPr>
            <w:tcW w:type="dxa" w:w="5256"/>
            <w:shd w:val="clear" w:fill="E5F4F6"/>
          </w:tcPr>
          <w:p>
            <w:r>
              <w:rPr>
                <w:b/>
                <w:color w:val="0C2E3F"/>
                <w:sz w:val="17"/>
              </w:rPr>
              <w:t>Alternatives (bullets)</w:t>
            </w:r>
          </w:p>
        </w:tc>
        <w:tc>
          <w:tcPr>
            <w:tcW w:type="dxa" w:w="5256"/>
          </w:tcPr>
          <w:p>
            <w:r>
              <w:rPr>
                <w:color w:val="B8860B"/>
                <w:sz w:val="19"/>
              </w:rPr>
              <w:t>• Remain in accumulation phase — discounted as it forgoes the tax‑free earnings available in pension phase.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w:t>
            </w:r>
          </w:p>
        </w:tc>
      </w:tr>
      <w:tr>
        <w:tc>
          <w:tcPr>
            <w:tcW w:type="dxa" w:w="5256"/>
            <w:shd w:val="clear" w:fill="E5F4F6"/>
          </w:tcPr>
          <w:p>
            <w:r>
              <w:rPr>
                <w:b/>
                <w:color w:val="0C2E3F"/>
                <w:sz w:val="17"/>
              </w:rPr>
              <w:t>Trigger phrases (how it's written in the advice request)</w:t>
            </w:r>
          </w:p>
        </w:tc>
        <w:tc>
          <w:tcPr>
            <w:tcW w:type="dxa" w:w="5256"/>
          </w:tcPr>
          <w:p>
            <w:r>
              <w:rPr>
                <w:sz w:val="19"/>
              </w:rPr>
              <w:t>• binding death nomination</w:t>
              <w:br/>
              <w:t>• non-lapsing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superannuation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Death benefit payment option — you can nominate dependents under the non-lapsing binding election, or select an automatic reversionary pension under the pension plan.</w:t>
              <w:br/>
              <w:t>• A non-lapsing binding nomination binds the trustee to pay a superannuation death benefit according to the deceased's wishes and remains in force until amended or revoked (subject to the fund's Trust Deed).</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they are paid as a lump sum to non-dependants, as defined for tax purposes.</w:t>
              <w:br/>
              <w:t>• (delete if the fund is unable to offer a non-lapsing binding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Recontribution strategy</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color w:val="B8860B"/>
                <w:sz w:val="19"/>
              </w:rPr>
              <w:t>We recommend you withdraw $XXX from superannuation and recontribute it as a non-concessional contribution to [your / your spouse's] account.</w:t>
            </w:r>
          </w:p>
        </w:tc>
      </w:tr>
      <w:tr>
        <w:tc>
          <w:tcPr>
            <w:tcW w:type="dxa" w:w="5256"/>
            <w:shd w:val="clear" w:fill="E5F4F6"/>
          </w:tcPr>
          <w:p>
            <w:r>
              <w:rPr>
                <w:b/>
                <w:color w:val="0C2E3F"/>
                <w:sz w:val="17"/>
              </w:rPr>
              <w:t>Summary – Outcomes line</w:t>
            </w:r>
          </w:p>
        </w:tc>
        <w:tc>
          <w:tcPr>
            <w:tcW w:type="dxa" w:w="5256"/>
          </w:tcPr>
          <w:p>
            <w:r>
              <w:rPr>
                <w:color w:val="B8860B"/>
                <w:sz w:val="19"/>
              </w:rPr>
              <w:t>A recontribution strategy converts a taxable component into a tax-free component, improving the tax treatment of your super death benefit for non-dependant beneficiaries (and can assist with balance equalisation).</w:t>
            </w:r>
          </w:p>
        </w:tc>
      </w:tr>
      <w:tr>
        <w:tc>
          <w:tcPr>
            <w:tcW w:type="dxa" w:w="5256"/>
            <w:shd w:val="clear" w:fill="E5F4F6"/>
          </w:tcPr>
          <w:p>
            <w:r>
              <w:rPr>
                <w:b/>
                <w:color w:val="0C2E3F"/>
                <w:sz w:val="17"/>
              </w:rPr>
              <w:t>Why / In line with your goals (bullets)</w:t>
            </w:r>
          </w:p>
        </w:tc>
        <w:tc>
          <w:tcPr>
            <w:tcW w:type="dxa" w:w="5256"/>
          </w:tcPr>
          <w:p>
            <w:r>
              <w:rPr>
                <w:color w:val="B8860B"/>
                <w:sz w:val="19"/>
              </w:rPr>
              <w:t>• Converts a taxable component to a tax-free component, reducing potential death benefits tax for non-dependant beneficiaries.</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color w:val="B8860B"/>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color w:val="B8860B"/>
                <w:sz w:val="19"/>
              </w:rPr>
              <w:t>• Retain the existing components — discounted where improving the tax-free proportion benefits your beneficiaries.</w:t>
            </w:r>
          </w:p>
        </w:tc>
      </w:tr>
    </w:tbl>
    <w:p/>
    <w:p>
      <w:pPr>
        <w:spacing w:after="120" w:before="200"/>
      </w:pPr>
      <w:r>
        <w:rPr>
          <w:b/>
          <w:color w:val="1F6FEB"/>
          <w:sz w:val="28"/>
        </w:rPr>
        <w:t>5 · Super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[Name], we recommend that you [make / retain] salary sacrifice contributions of approximately $XXX p.a. to super.</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non-concessional (after-tax) contribution of $XXX to superannuation.</w:t>
            </w:r>
          </w:p>
        </w:tc>
      </w:tr>
      <w:tr>
        <w:tc>
          <w:tcPr>
            <w:tcW w:type="dxa" w:w="5256"/>
            <w:shd w:val="clear" w:fill="E5F4F6"/>
          </w:tcPr>
          <w:p>
            <w:r>
              <w:rPr>
                <w:b/>
                <w:color w:val="0C2E3F"/>
                <w:sz w:val="17"/>
              </w:rPr>
              <w:t>Summary – Outcomes line</w:t>
            </w:r>
          </w:p>
        </w:tc>
        <w:tc>
          <w:tcPr>
            <w:tcW w:type="dxa" w:w="5256"/>
          </w:tcPr>
          <w:p>
            <w:r>
              <w:rPr>
                <w:color w:val="B8860B"/>
                <w:sz w:val="19"/>
              </w:rPr>
              <w:t>Moving after‑tax savings into super grows them in a low‑tax environment for retirement.</w:t>
            </w:r>
          </w:p>
        </w:tc>
      </w:tr>
      <w:tr>
        <w:tc>
          <w:tcPr>
            <w:tcW w:type="dxa" w:w="5256"/>
            <w:shd w:val="clear" w:fill="E5F4F6"/>
          </w:tcPr>
          <w:p>
            <w:r>
              <w:rPr>
                <w:b/>
                <w:color w:val="0C2E3F"/>
                <w:sz w:val="17"/>
              </w:rPr>
              <w:t>Why / In line with your goals (bullets)</w:t>
            </w:r>
          </w:p>
        </w:tc>
        <w:tc>
          <w:tcPr>
            <w:tcW w:type="dxa" w:w="5256"/>
          </w:tcPr>
          <w:p>
            <w:r>
              <w:rPr>
                <w:color w:val="B8860B"/>
                <w:sz w:val="19"/>
              </w:rPr>
              <w:t>• Boosts your retirement savings in the concessionally taxed super environment.</w:t>
              <w:br/>
              <w:t>• Earnings are taxed at up to 15% rather than your marginal rate.</w:t>
            </w:r>
          </w:p>
        </w:tc>
      </w:tr>
      <w:tr>
        <w:tc>
          <w:tcPr>
            <w:tcW w:type="dxa" w:w="5256"/>
            <w:shd w:val="clear" w:fill="E5F4F6"/>
          </w:tcPr>
          <w:p>
            <w:r>
              <w:rPr>
                <w:b/>
                <w:color w:val="0C2E3F"/>
                <w:sz w:val="17"/>
              </w:rPr>
              <w:t>Risks &amp; Disadvantages (bullets)</w:t>
            </w:r>
          </w:p>
        </w:tc>
        <w:tc>
          <w:tcPr>
            <w:tcW w:type="dxa" w:w="5256"/>
          </w:tcPr>
          <w:p>
            <w:r>
              <w:rPr>
                <w:color w:val="B8860B"/>
                <w:sz w:val="19"/>
              </w:rPr>
              <w:t>• Non‑concessional contributions are subject to an annual cap (and eligibility depends on your total super balance); exceeding the cap results in additional tax.</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color w:val="B8860B"/>
                <w:sz w:val="19"/>
              </w:rPr>
              <w:t>• Retain the funds outside super — discounted where the concessional tax treatment within super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color w:val="B8860B"/>
                <w:sz w:val="19"/>
              </w:rPr>
              <w:t>We recommend you split up to 85% of your concessional contributions of $XXX to [Spouse]'s superannuation account.</w:t>
            </w:r>
          </w:p>
        </w:tc>
      </w:tr>
      <w:tr>
        <w:tc>
          <w:tcPr>
            <w:tcW w:type="dxa" w:w="5256"/>
            <w:shd w:val="clear" w:fill="E5F4F6"/>
          </w:tcPr>
          <w:p>
            <w:r>
              <w:rPr>
                <w:b/>
                <w:color w:val="0C2E3F"/>
                <w:sz w:val="17"/>
              </w:rPr>
              <w:t>Summary – Outcomes line</w:t>
            </w:r>
          </w:p>
        </w:tc>
        <w:tc>
          <w:tcPr>
            <w:tcW w:type="dxa" w:w="5256"/>
          </w:tcPr>
          <w:p>
            <w:r>
              <w:rPr>
                <w:color w:val="B8860B"/>
                <w:sz w:val="19"/>
              </w:rPr>
              <w:t>Splitting contributions to your spouse helps equalise balances for cap, pension and Centrelink planning.</w:t>
            </w:r>
          </w:p>
        </w:tc>
      </w:tr>
      <w:tr>
        <w:tc>
          <w:tcPr>
            <w:tcW w:type="dxa" w:w="5256"/>
            <w:shd w:val="clear" w:fill="E5F4F6"/>
          </w:tcPr>
          <w:p>
            <w:r>
              <w:rPr>
                <w:b/>
                <w:color w:val="0C2E3F"/>
                <w:sz w:val="17"/>
              </w:rPr>
              <w:t>Why / In line with your goals (bullets)</w:t>
            </w:r>
          </w:p>
        </w:tc>
        <w:tc>
          <w:tcPr>
            <w:tcW w:type="dxa" w:w="5256"/>
          </w:tcPr>
          <w:p>
            <w:r>
              <w:rPr>
                <w:color w:val="B8860B"/>
                <w:sz w:val="19"/>
              </w:rPr>
              <w:t>• Helps equalise super balances between spouses, which can assist with transfer balance cap and age pension planning.</w:t>
            </w:r>
          </w:p>
        </w:tc>
      </w:tr>
      <w:tr>
        <w:tc>
          <w:tcPr>
            <w:tcW w:type="dxa" w:w="5256"/>
            <w:shd w:val="clear" w:fill="E5F4F6"/>
          </w:tcPr>
          <w:p>
            <w:r>
              <w:rPr>
                <w:b/>
                <w:color w:val="0C2E3F"/>
                <w:sz w:val="17"/>
              </w:rPr>
              <w:t>Risks &amp; Disadvantages (bullets)</w:t>
            </w:r>
          </w:p>
        </w:tc>
        <w:tc>
          <w:tcPr>
            <w:tcW w:type="dxa" w:w="5256"/>
          </w:tcPr>
          <w:p>
            <w:r>
              <w:rPr>
                <w:color w:val="B8860B"/>
                <w:sz w:val="19"/>
              </w:rPr>
              <w:t>• Only the prior year's concessional contributions (up to 85%) can be split; the amount is preserved in the spouse's account.</w:t>
            </w:r>
          </w:p>
        </w:tc>
      </w:tr>
      <w:tr>
        <w:tc>
          <w:tcPr>
            <w:tcW w:type="dxa" w:w="5256"/>
            <w:shd w:val="clear" w:fill="E5F4F6"/>
          </w:tcPr>
          <w:p>
            <w:r>
              <w:rPr>
                <w:b/>
                <w:color w:val="0C2E3F"/>
                <w:sz w:val="17"/>
              </w:rPr>
              <w:t>Alternatives (bullets)</w:t>
            </w:r>
          </w:p>
        </w:tc>
        <w:tc>
          <w:tcPr>
            <w:tcW w:type="dxa" w:w="5256"/>
          </w:tcPr>
          <w:p>
            <w:r>
              <w:rPr>
                <w:color w:val="B8860B"/>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claim a deduction for 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personal contribution of $XXX to superannuation and lodge a notice of intent to claim a tax deduction.</w:t>
            </w:r>
          </w:p>
        </w:tc>
      </w:tr>
      <w:tr>
        <w:tc>
          <w:tcPr>
            <w:tcW w:type="dxa" w:w="5256"/>
            <w:shd w:val="clear" w:fill="E5F4F6"/>
          </w:tcPr>
          <w:p>
            <w:r>
              <w:rPr>
                <w:b/>
                <w:color w:val="0C2E3F"/>
                <w:sz w:val="17"/>
              </w:rPr>
              <w:t>Summary – Outcomes line</w:t>
            </w:r>
          </w:p>
        </w:tc>
        <w:tc>
          <w:tcPr>
            <w:tcW w:type="dxa" w:w="5256"/>
          </w:tcPr>
          <w:p>
            <w:r>
              <w:rPr>
                <w:color w:val="B8860B"/>
                <w:sz w:val="19"/>
              </w:rPr>
              <w:t>A personal deductible contribution reduces your assessable income while building retirement savings.</w:t>
            </w:r>
          </w:p>
        </w:tc>
      </w:tr>
      <w:tr>
        <w:tc>
          <w:tcPr>
            <w:tcW w:type="dxa" w:w="5256"/>
            <w:shd w:val="clear" w:fill="E5F4F6"/>
          </w:tcPr>
          <w:p>
            <w:r>
              <w:rPr>
                <w:b/>
                <w:color w:val="0C2E3F"/>
                <w:sz w:val="17"/>
              </w:rPr>
              <w:t>Why / In line with your goals (bullets)</w:t>
            </w:r>
          </w:p>
        </w:tc>
        <w:tc>
          <w:tcPr>
            <w:tcW w:type="dxa" w:w="5256"/>
          </w:tcPr>
          <w:p>
            <w:r>
              <w:rPr>
                <w:color w:val="B8860B"/>
                <w:sz w:val="19"/>
              </w:rPr>
              <w:t>• Reduces your assessable income (taxed at 15% in super rather than your marginal rate) up to your concessional cap.</w:t>
              <w:br/>
              <w:t>• Useful where salary sacrifice is not available.</w:t>
            </w:r>
          </w:p>
        </w:tc>
      </w:tr>
      <w:tr>
        <w:tc>
          <w:tcPr>
            <w:tcW w:type="dxa" w:w="5256"/>
            <w:shd w:val="clear" w:fill="E5F4F6"/>
          </w:tcPr>
          <w:p>
            <w:r>
              <w:rPr>
                <w:b/>
                <w:color w:val="0C2E3F"/>
                <w:sz w:val="17"/>
              </w:rPr>
              <w:t>Risks &amp; Disadvantages (bullets)</w:t>
            </w:r>
          </w:p>
        </w:tc>
        <w:tc>
          <w:tcPr>
            <w:tcW w:type="dxa" w:w="5256"/>
          </w:tcPr>
          <w:p>
            <w:r>
              <w:rPr>
                <w:color w:val="B8860B"/>
                <w:sz w:val="19"/>
              </w:rPr>
              <w:t>• You must lodge a valid notice of intent and have it acknowledged before claiming the deduction; counts toward your concessional cap; preserved until a condition of release.</w:t>
            </w:r>
          </w:p>
        </w:tc>
      </w:tr>
      <w:tr>
        <w:tc>
          <w:tcPr>
            <w:tcW w:type="dxa" w:w="5256"/>
            <w:shd w:val="clear" w:fill="E5F4F6"/>
          </w:tcPr>
          <w:p>
            <w:r>
              <w:rPr>
                <w:b/>
                <w:color w:val="0C2E3F"/>
                <w:sz w:val="17"/>
              </w:rPr>
              <w:t>Alternatives (bullets)</w:t>
            </w:r>
          </w:p>
        </w:tc>
        <w:tc>
          <w:tcPr>
            <w:tcW w:type="dxa" w:w="5256"/>
          </w:tcPr>
          <w:p>
            <w:r>
              <w:rPr>
                <w:color w:val="B8860B"/>
                <w:sz w:val="19"/>
              </w:rPr>
              <w:t>• Salary sacrifice instead — discounted where a personal deductible contribution better suits your circumstances.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downsizer contribution</w:t>
              <w:br/>
              <w:t>• downsizer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color w:val="B8860B"/>
                <w:sz w:val="19"/>
              </w:rPr>
              <w:t>We recommend you make a downsizer contribution of up to $300,000 each ($600,000 combined) to superannuation from the proceeds of selling your home.</w:t>
            </w:r>
          </w:p>
        </w:tc>
      </w:tr>
      <w:tr>
        <w:tc>
          <w:tcPr>
            <w:tcW w:type="dxa" w:w="5256"/>
            <w:shd w:val="clear" w:fill="E5F4F6"/>
          </w:tcPr>
          <w:p>
            <w:r>
              <w:rPr>
                <w:b/>
                <w:color w:val="0C2E3F"/>
                <w:sz w:val="17"/>
              </w:rPr>
              <w:t>Summary – Outcomes line</w:t>
            </w:r>
          </w:p>
        </w:tc>
        <w:tc>
          <w:tcPr>
            <w:tcW w:type="dxa" w:w="5256"/>
          </w:tcPr>
          <w:p>
            <w:r>
              <w:rPr>
                <w:color w:val="B8860B"/>
                <w:sz w:val="19"/>
              </w:rPr>
              <w:t>A downsizer contribution moves home-sale proceeds into the low-tax super environment without using your contribution caps.</w:t>
            </w:r>
          </w:p>
        </w:tc>
      </w:tr>
      <w:tr>
        <w:tc>
          <w:tcPr>
            <w:tcW w:type="dxa" w:w="5256"/>
            <w:shd w:val="clear" w:fill="E5F4F6"/>
          </w:tcPr>
          <w:p>
            <w:r>
              <w:rPr>
                <w:b/>
                <w:color w:val="0C2E3F"/>
                <w:sz w:val="17"/>
              </w:rPr>
              <w:t>Why / In line with your goals (bullets)</w:t>
            </w:r>
          </w:p>
        </w:tc>
        <w:tc>
          <w:tcPr>
            <w:tcW w:type="dxa" w:w="5256"/>
          </w:tcPr>
          <w:p>
            <w:r>
              <w:rPr>
                <w:color w:val="B8860B"/>
                <w:sz w:val="19"/>
              </w:rPr>
              <w:t>• A downsizer contribution does not count toward your concessional or non-concessional caps and is not subject to the work test.</w:t>
              <w:br/>
              <w:t>• Allows you to boost retirement savings from the proceeds of selling your home.</w:t>
            </w:r>
          </w:p>
        </w:tc>
      </w:tr>
      <w:tr>
        <w:tc>
          <w:tcPr>
            <w:tcW w:type="dxa" w:w="5256"/>
            <w:shd w:val="clear" w:fill="E5F4F6"/>
          </w:tcPr>
          <w:p>
            <w:r>
              <w:rPr>
                <w:b/>
                <w:color w:val="0C2E3F"/>
                <w:sz w:val="17"/>
              </w:rPr>
              <w:t>Risks &amp; Disadvantages (bullets)</w:t>
            </w:r>
          </w:p>
        </w:tc>
        <w:tc>
          <w:tcPr>
            <w:tcW w:type="dxa" w:w="5256"/>
          </w:tcPr>
          <w:p>
            <w:r>
              <w:rPr>
                <w:color w:val="B8860B"/>
                <w:sz w:val="19"/>
              </w:rPr>
              <w:t>• You must be age 55 or older, have owned the home for at least 10 years, and make the contribution within 90 days of settlement; the amount counts toward your transfer balance cap and is preserved.</w:t>
            </w:r>
          </w:p>
        </w:tc>
      </w:tr>
      <w:tr>
        <w:tc>
          <w:tcPr>
            <w:tcW w:type="dxa" w:w="5256"/>
            <w:shd w:val="clear" w:fill="E5F4F6"/>
          </w:tcPr>
          <w:p>
            <w:r>
              <w:rPr>
                <w:b/>
                <w:color w:val="0C2E3F"/>
                <w:sz w:val="17"/>
              </w:rPr>
              <w:t>Alternatives (bullets)</w:t>
            </w:r>
          </w:p>
        </w:tc>
        <w:tc>
          <w:tcPr>
            <w:tcW w:type="dxa" w:w="5256"/>
          </w:tcPr>
          <w:p>
            <w:r>
              <w:rPr>
                <w:color w:val="B8860B"/>
                <w:sz w:val="19"/>
              </w:rPr>
              <w:t>• Retain the proceeds outside super — discounted where the concessional super environment better meets your retirement goal.</w:t>
            </w:r>
          </w:p>
        </w:tc>
      </w:tr>
    </w:tbl>
    <w:p/>
    <w:p>
      <w:pPr>
        <w:spacing w:after="120" w:before="200"/>
      </w:pPr>
      <w:r>
        <w:rPr>
          <w:b/>
          <w:color w:val="1F6FEB"/>
          <w:sz w:val="28"/>
        </w:rPr>
        <w:t>6 · Insurance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p>
      <w:pPr>
        <w:spacing w:after="120" w:before="200"/>
      </w:pPr>
      <w:r>
        <w:rPr>
          <w:b/>
          <w:color w:val="1F6FEB"/>
          <w:sz w:val="28"/>
        </w:rPr>
        <w:t>7 · Cashflow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to offset / savings</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w:t>
              <w:br/>
              <w:t>• surplus to offset</w:t>
              <w:br/>
              <w:t>• surplus to savings</w:t>
            </w:r>
          </w:p>
        </w:tc>
      </w:tr>
      <w:tr>
        <w:tc>
          <w:tcPr>
            <w:tcW w:type="dxa" w:w="5256"/>
            <w:shd w:val="clear" w:fill="E5F4F6"/>
          </w:tcPr>
          <w:p>
            <w:r>
              <w:rPr>
                <w:b/>
                <w:color w:val="0C2E3F"/>
                <w:sz w:val="17"/>
              </w:rPr>
              <w:t>Always-on / Tailored</w:t>
            </w:r>
          </w:p>
        </w:tc>
        <w:tc>
          <w:tcPr>
            <w:tcW w:type="dxa" w:w="5256"/>
          </w:tcPr>
          <w:p>
            <w:r>
              <w:rPr>
                <w:sz w:val="19"/>
              </w:rPr>
              <w:t>Always-on (when cashflow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{surplusWk},{taxPa}</w:t>
            </w:r>
          </w:p>
        </w:tc>
      </w:tr>
      <w:tr>
        <w:tc>
          <w:tcPr>
            <w:tcW w:type="dxa" w:w="5256"/>
            <w:shd w:val="clear" w:fill="E5F4F6"/>
          </w:tcPr>
          <w:p>
            <w:r>
              <w:rPr>
                <w:b/>
                <w:color w:val="0C2E3F"/>
                <w:sz w:val="17"/>
              </w:rPr>
              <w:t>Summary – Strategies line</w:t>
            </w:r>
          </w:p>
        </w:tc>
        <w:tc>
          <w:tcPr>
            <w:tcW w:type="dxa" w:w="5256"/>
          </w:tcPr>
          <w:p>
            <w:r>
              <w:rPr>
                <w:sz w:val="19"/>
              </w:rPr>
              <w:t>We recommend your remaining surplus income of $XXX per week ($XXX per month) be directed towards your [existing home loan offset account / savings account].</w:t>
              <w:br/>
              <w:t>We recommend you direct your tax savings to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to your offset reduces interest and shortens your loan term while keeping funds accessible.</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(no specific risks noted)</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term deposit — discounted as the offset yields a higher effective after-tax return and reduces bad debt faster.</w:t>
              <w:br/>
              <w:t>• Make additional home loan repayments instead of using the offset — discounted as the offset provides flexible access to your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management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adopt the budget set out in this advice and use the My Wealth Portal to track your income and expenses against it.</w:t>
            </w:r>
          </w:p>
        </w:tc>
      </w:tr>
      <w:tr>
        <w:tc>
          <w:tcPr>
            <w:tcW w:type="dxa" w:w="5256"/>
            <w:shd w:val="clear" w:fill="E5F4F6"/>
          </w:tcPr>
          <w:p>
            <w:r>
              <w:rPr>
                <w:b/>
                <w:color w:val="0C2E3F"/>
                <w:sz w:val="17"/>
              </w:rPr>
              <w:t>Summary – Outcomes line</w:t>
            </w:r>
          </w:p>
        </w:tc>
        <w:tc>
          <w:tcPr>
            <w:tcW w:type="dxa" w:w="5256"/>
          </w:tcPr>
          <w:p>
            <w:r>
              <w:rPr>
                <w:color w:val="B8860B"/>
                <w:sz w:val="19"/>
              </w:rPr>
              <w:t>A clear budget keeps your plan on track and ensures surplus is directed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The My Wealth Portal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color w:val="B8860B"/>
                <w:sz w:val="19"/>
              </w:rPr>
              <w:t>• (administrative strategy — no material risks)</w:t>
            </w:r>
          </w:p>
        </w:tc>
      </w:tr>
      <w:tr>
        <w:tc>
          <w:tcPr>
            <w:tcW w:type="dxa" w:w="5256"/>
            <w:shd w:val="clear" w:fill="E5F4F6"/>
          </w:tcPr>
          <w:p>
            <w:r>
              <w:rPr>
                <w:b/>
                <w:color w:val="0C2E3F"/>
                <w:sz w:val="17"/>
              </w:rPr>
              <w:t>Alternatives (bullets)</w:t>
            </w:r>
          </w:p>
        </w:tc>
        <w:tc>
          <w:tcPr>
            <w:tcW w:type="dxa" w:w="5256"/>
          </w:tcPr>
          <w:p>
            <w:r>
              <w:rPr>
                <w:color w:val="B8860B"/>
                <w:sz w:val="19"/>
              </w:rPr>
            </w:r>
          </w:p>
        </w:tc>
      </w:tr>
    </w:tbl>
    <w:p/>
    <w:p>
      <w:pPr>
        <w:spacing w:after="120" w:before="200"/>
      </w:pPr>
      <w:r>
        <w:rPr>
          <w:b/>
          <w:color w:val="1F6FEB"/>
          <w:sz w:val="28"/>
        </w:rPr>
        <w:t>8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contact a solicitor to consider establishing a testamentary trust within your Will.</w:t>
            </w:r>
          </w:p>
        </w:tc>
      </w:tr>
      <w:tr>
        <w:tc>
          <w:tcPr>
            <w:tcW w:type="dxa" w:w="5256"/>
            <w:shd w:val="clear" w:fill="E5F4F6"/>
          </w:tcPr>
          <w:p>
            <w:r>
              <w:rPr>
                <w:b/>
                <w:color w:val="0C2E3F"/>
                <w:sz w:val="17"/>
              </w:rPr>
              <w:t>Summary – Outcomes line</w:t>
            </w:r>
          </w:p>
        </w:tc>
        <w:tc>
          <w:tcPr>
            <w:tcW w:type="dxa" w:w="5256"/>
          </w:tcPr>
          <w:p>
            <w:r>
              <w:rPr>
                <w:color w:val="B8860B"/>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color w:val="B8860B"/>
                <w:sz w:val="19"/>
              </w:rPr>
              <w:t>• Tax benefits — a testamentary trust allows trustees to distribute and split income with tax planning in mind.</w:t>
              <w:br/>
              <w:t>• Asset protection — the trust holds title to the assets, helping protect them from litigation, bankruptcy or legal action.</w:t>
              <w:br/>
              <w:t>• Flexibility — distributions can be tailored to individual beneficiary circumstances.</w:t>
            </w:r>
          </w:p>
        </w:tc>
      </w:tr>
      <w:tr>
        <w:tc>
          <w:tcPr>
            <w:tcW w:type="dxa" w:w="5256"/>
            <w:shd w:val="clear" w:fill="E5F4F6"/>
          </w:tcPr>
          <w:p>
            <w:r>
              <w:rPr>
                <w:b/>
                <w:color w:val="0C2E3F"/>
                <w:sz w:val="17"/>
              </w:rPr>
              <w:t>Risks &amp; Disadvantages (bullets)</w:t>
            </w:r>
          </w:p>
        </w:tc>
        <w:tc>
          <w:tcPr>
            <w:tcW w:type="dxa" w:w="5256"/>
          </w:tcPr>
          <w:p>
            <w:r>
              <w:rPr>
                <w:color w:val="B8860B"/>
                <w:sz w:val="19"/>
              </w:rPr>
              <w:t>• A testamentary trust adds complexity and ongoing administration; obtain specialist legal advice.</w:t>
            </w:r>
          </w:p>
        </w:tc>
      </w:tr>
      <w:tr>
        <w:tc>
          <w:tcPr>
            <w:tcW w:type="dxa" w:w="5256"/>
            <w:shd w:val="clear" w:fill="E5F4F6"/>
          </w:tcPr>
          <w:p>
            <w:r>
              <w:rPr>
                <w:b/>
                <w:color w:val="0C2E3F"/>
                <w:sz w:val="17"/>
              </w:rPr>
              <w:t>Alternatives (bullets)</w:t>
            </w:r>
          </w:p>
        </w:tc>
        <w:tc>
          <w:tcPr>
            <w:tcW w:type="dxa" w:w="5256"/>
          </w:tcPr>
          <w:p>
            <w:r>
              <w:rPr>
                <w:color w:val="B8860B"/>
                <w:sz w:val="19"/>
              </w:rPr>
              <w:t>• Distribute the estate directly via the Will — discounted where the tax/asset‑protection benefits of a trust are valuable to your beneficiaries.</w:t>
            </w:r>
          </w:p>
        </w:tc>
      </w:tr>
    </w:tbl>
    <w:p/>
    <w:p>
      <w:pPr>
        <w:spacing w:after="120" w:before="200"/>
      </w:pPr>
      <w:r>
        <w:rPr>
          <w:b/>
          <w:color w:val="1F6FEB"/>
          <w:sz w:val="28"/>
        </w:rPr>
        <w:t>9 · Administration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spacing w:after="120" w:before="200"/>
      </w:pPr>
      <w:r>
        <w:rPr>
          <w:b/>
          <w:color w:val="1F6FEB"/>
          <w:sz w:val="28"/>
        </w:rPr>
        <w:t>10 · Entities (company / trust / SMSF)</w:t>
      </w:r>
    </w:p>
    <w:p>
      <w:r>
        <w:rPr>
          <w:i/>
          <w:color w:val="5B6B76"/>
          <w:sz w:val="18"/>
        </w:rPr>
        <w:t>DRAFT — none of the 10 sample SOAs used a company/bucket company/trust as the ADVICE ENTITY (the family trust was always scoped out). Please send an SOA where the entity IS the client so I can replace these with your real wording.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company / bucket company</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Family / discretionary trust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(See Superannuation › Establish / manage an SMSF for the in-fund wording. This row captures the SMSF as the advice ENTITY — trustees, members and ownership.)</w:t>
            </w:r>
          </w:p>
        </w:tc>
      </w:tr>
      <w:tr>
        <w:tc>
          <w:tcPr>
            <w:tcW w:type="dxa" w:w="5256"/>
            <w:shd w:val="clear" w:fill="E5F4F6"/>
          </w:tcPr>
          <w:p>
            <w:r>
              <w:rPr>
                <w:b/>
                <w:color w:val="0C2E3F"/>
                <w:sz w:val="17"/>
              </w:rPr>
              <w:t>Summary – Outcomes line</w:t>
            </w:r>
          </w:p>
        </w:tc>
        <w:tc>
          <w:tcPr>
            <w:tcW w:type="dxa" w:w="5256"/>
          </w:tcPr>
          <w:p>
            <w:r>
              <w:rPr>
                <w:color w:val="B8860B"/>
                <w:sz w:val="19"/>
              </w:rPr>
              <w:t>—</w:t>
            </w:r>
          </w:p>
        </w:tc>
      </w:tr>
      <w:tr>
        <w:tc>
          <w:tcPr>
            <w:tcW w:type="dxa" w:w="5256"/>
            <w:shd w:val="clear" w:fill="E5F4F6"/>
          </w:tcPr>
          <w:p>
            <w:r>
              <w:rPr>
                <w:b/>
                <w:color w:val="0C2E3F"/>
                <w:sz w:val="17"/>
              </w:rPr>
              <w:t>Why / In line with your goals (bullets)</w:t>
            </w:r>
          </w:p>
        </w:tc>
        <w:tc>
          <w:tcPr>
            <w:tcW w:type="dxa" w:w="5256"/>
          </w:tcPr>
          <w:p>
            <w:r>
              <w:rPr>
                <w:color w:val="B8860B"/>
                <w:sz w:val="19"/>
              </w:rPr>
              <w:t>• Captures the SMSF entity details (corporate/individual trustees, members) for the cover, signatures and ownership columns.</w:t>
            </w:r>
          </w:p>
        </w:tc>
      </w:tr>
      <w:tr>
        <w:tc>
          <w:tcPr>
            <w:tcW w:type="dxa" w:w="5256"/>
            <w:shd w:val="clear" w:fill="E5F4F6"/>
          </w:tcPr>
          <w:p>
            <w:r>
              <w:rPr>
                <w:b/>
                <w:color w:val="0C2E3F"/>
                <w:sz w:val="17"/>
              </w:rPr>
              <w:t>Risks &amp; Disadvantages (bullets)</w:t>
            </w:r>
          </w:p>
        </w:tc>
        <w:tc>
          <w:tcPr>
            <w:tcW w:type="dxa" w:w="5256"/>
          </w:tcPr>
          <w:p>
            <w:r>
              <w:rPr>
                <w:color w:val="B8860B"/>
                <w:sz w:val="19"/>
              </w:rPr>
            </w:r>
          </w:p>
        </w:tc>
      </w:tr>
      <w:tr>
        <w:tc>
          <w:tcPr>
            <w:tcW w:type="dxa" w:w="5256"/>
            <w:shd w:val="clear" w:fill="E5F4F6"/>
          </w:tcPr>
          <w:p>
            <w:r>
              <w:rPr>
                <w:b/>
                <w:color w:val="0C2E3F"/>
                <w:sz w:val="17"/>
              </w:rPr>
              <w:t>Alternatives (bullets)</w:t>
            </w:r>
          </w:p>
        </w:tc>
        <w:tc>
          <w:tcPr>
            <w:tcW w:type="dxa" w:w="5256"/>
          </w:tcPr>
          <w:p>
            <w:r>
              <w:rPr>
                <w:color w:val="B8860B"/>
                <w:sz w:val="19"/>
              </w:rPr>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