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(two separate amounts,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(two separate amounts)</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Rent part of your home — direct the rental income to the home loan offset</w:t>
            </w:r>
          </w:p>
        </w:tc>
      </w:tr>
      <w:tr>
        <w:tc>
          <w:tcPr>
            <w:tcW w:type="dxa" w:w="5256"/>
            <w:shd w:val="clear" w:fill="E5F4F6"/>
          </w:tcPr>
          <w:p>
            <w:r>
              <w:rPr>
                <w:b/>
                <w:color w:val="0C2E3F"/>
                <w:sz w:val="17"/>
              </w:rPr>
              <w:t>Trigger phrases (how it's written in the advice request)</w:t>
            </w:r>
          </w:p>
        </w:tc>
        <w:tc>
          <w:tcPr>
            <w:tcW w:type="dxa" w:w="5256"/>
          </w:tcPr>
          <w:p>
            <w:r>
              <w:rPr>
                <w:sz w:val="19"/>
              </w:rPr>
              <w:t>• rent part of home</w:t>
              <w:br/>
              <w:t>• rent out a room</w:t>
              <w:br/>
              <w:t>• partial rental of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plan to rent part of your home; we recommend you direct that rental income towards your home loan offset account.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3a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 — product (Generation Life / Australian Unity / Centuria)</w:t>
            </w:r>
          </w:p>
        </w:tc>
      </w:tr>
      <w:tr>
        <w:tc>
          <w:tcPr>
            <w:tcW w:type="dxa" w:w="5256"/>
            <w:shd w:val="clear" w:fill="E5F4F6"/>
          </w:tcPr>
          <w:p>
            <w:r>
              <w:rPr>
                <w:b/>
                <w:color w:val="0C2E3F"/>
                <w:sz w:val="17"/>
              </w:rPr>
              <w:t>Trigger phrases (how it's written in the advice request)</w:t>
            </w:r>
          </w:p>
        </w:tc>
        <w:tc>
          <w:tcPr>
            <w:tcW w:type="dxa" w:w="5256"/>
          </w:tcPr>
          <w:p>
            <w:r>
              <w:rPr>
                <w:sz w:val="19"/>
              </w:rPr>
              <w:t>• genlife</w:t>
              <w:br/>
              <w:t>• generation life</w:t>
              <w:br/>
              <w:t>• lifebuilder</w:t>
              <w:br/>
              <w:t>• investment bond product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[Specify the investment bond platform + underlying option, e.g. GenLife Vanguard Growth — as per doc.]</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3b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Joint investment account (couple ownership)</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held jointly.</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future rental increases into super (optional overlay)</w:t>
            </w:r>
          </w:p>
        </w:tc>
      </w:tr>
      <w:tr>
        <w:tc>
          <w:tcPr>
            <w:tcW w:type="dxa" w:w="5256"/>
            <w:shd w:val="clear" w:fill="E5F4F6"/>
          </w:tcPr>
          <w:p>
            <w:r>
              <w:rPr>
                <w:b/>
                <w:color w:val="0C2E3F"/>
                <w:sz w:val="17"/>
              </w:rPr>
              <w:t>Trigger phrases (how it's written in the advice request)</w:t>
            </w:r>
          </w:p>
        </w:tc>
        <w:tc>
          <w:tcPr>
            <w:tcW w:type="dxa" w:w="5256"/>
          </w:tcPr>
          <w:p>
            <w:r>
              <w:rPr>
                <w:sz w:val="19"/>
              </w:rPr>
              <w:t>• rent increases salary sacrifice</w:t>
              <w:br/>
              <w:t>• future rent to super</w:t>
              <w:br/>
              <w:t>• direct rent increases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property held; future rent growth expected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plan to have future rent increases salary sacrificed into superannuation or allocated to your instalment gearing plan. This may be changed to direct rent increases to an additional property or to fund everyday lifestyle, reviewed as your circumstances evolve.</w:t>
            </w:r>
          </w:p>
        </w:tc>
      </w:tr>
      <w:tr>
        <w:tc>
          <w:tcPr>
            <w:tcW w:type="dxa" w:w="5256"/>
            <w:shd w:val="clear" w:fill="E5F4F6"/>
          </w:tcPr>
          <w:p>
            <w:r>
              <w:rPr>
                <w:b/>
                <w:color w:val="0C2E3F"/>
                <w:sz w:val="17"/>
              </w:rPr>
              <w:t>Summary – Outcomes line</w:t>
            </w:r>
          </w:p>
        </w:tc>
        <w:tc>
          <w:tcPr>
            <w:tcW w:type="dxa" w:w="5256"/>
          </w:tcPr>
          <w:p>
            <w:r>
              <w:rPr>
                <w:sz w:val="19"/>
              </w:rPr>
              <w:t>Growth in passive (rental) income is captured into super or the investment plan rather than absorbed into spending.</w:t>
            </w:r>
          </w:p>
        </w:tc>
      </w:tr>
      <w:tr>
        <w:tc>
          <w:tcPr>
            <w:tcW w:type="dxa" w:w="5256"/>
            <w:shd w:val="clear" w:fill="E5F4F6"/>
          </w:tcPr>
          <w:p>
            <w:r>
              <w:rPr>
                <w:b/>
                <w:color w:val="0C2E3F"/>
                <w:sz w:val="17"/>
              </w:rPr>
              <w:t>Why / In line with your goals (bullets)</w:t>
            </w:r>
          </w:p>
        </w:tc>
        <w:tc>
          <w:tcPr>
            <w:tcW w:type="dxa" w:w="5256"/>
          </w:tcPr>
          <w:p>
            <w:r>
              <w:rPr>
                <w:sz w:val="19"/>
              </w:rPr>
              <w:t>• Directing future rent increases into super (concessionally taxed) or the gearing plan compounds the benefit of rising rents rather than letting it leak into lifestyle.</w:t>
            </w:r>
          </w:p>
        </w:tc>
      </w:tr>
      <w:tr>
        <w:tc>
          <w:tcPr>
            <w:tcW w:type="dxa" w:w="5256"/>
            <w:shd w:val="clear" w:fill="E5F4F6"/>
          </w:tcPr>
          <w:p>
            <w:r>
              <w:rPr>
                <w:b/>
                <w:color w:val="0C2E3F"/>
                <w:sz w:val="17"/>
              </w:rPr>
              <w:t>Risks &amp; Disadvantages (bullets)</w:t>
            </w:r>
          </w:p>
        </w:tc>
        <w:tc>
          <w:tcPr>
            <w:tcW w:type="dxa" w:w="5256"/>
          </w:tcPr>
          <w:p>
            <w:r>
              <w:rPr>
                <w:sz w:val="19"/>
              </w:rPr>
              <w:t>• Future rent may not rise as projected; this requires an annual decision and adds management complexity.</w:t>
            </w:r>
          </w:p>
        </w:tc>
      </w:tr>
      <w:tr>
        <w:tc>
          <w:tcPr>
            <w:tcW w:type="dxa" w:w="5256"/>
            <w:shd w:val="clear" w:fill="E5F4F6"/>
          </w:tcPr>
          <w:p>
            <w:r>
              <w:rPr>
                <w:b/>
                <w:color w:val="0C2E3F"/>
                <w:sz w:val="17"/>
              </w:rPr>
              <w:t>Alternatives (bullets)</w:t>
            </w:r>
          </w:p>
        </w:tc>
        <w:tc>
          <w:tcPr>
            <w:tcW w:type="dxa" w:w="5256"/>
          </w:tcPr>
          <w:p>
            <w:r>
              <w:rPr>
                <w:sz w:val="19"/>
              </w:rPr>
              <w:t>• Direct rent increases entirely to the offset / loan reduction, or to lifestyle — chosen approach reviewed annually.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 savings (two separate amounts)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(separate)</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