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use your inheritance of {amt} to reduce your home loan.</w:t>
            </w:r>
          </w:p>
        </w:tc>
      </w:tr>
      <w:tr>
        <w:tc>
          <w:tcPr>
            <w:tcW w:type="dxa" w:w="5256"/>
            <w:shd w:val="clear" w:fill="E5F4F6"/>
          </w:tcPr>
          <w:p>
            <w:r>
              <w:rPr>
                <w:b/>
                <w:color w:val="0C2E3F"/>
                <w:sz w:val="17"/>
              </w:rPr>
              <w:t>Summary – Outcomes line</w:t>
            </w:r>
          </w:p>
        </w:tc>
        <w:tc>
          <w:tcPr>
            <w:tcW w:type="dxa" w:w="5256"/>
          </w:tcPr>
          <w:p>
            <w:r>
              <w:rPr>
                <w:color w:val="B8860B"/>
                <w:sz w:val="19"/>
              </w:rPr>
              <w:t>Applying your inheritance to your home loan reduces non‑deductible debt, lowers your interest cost and releases equity for future investment.</w:t>
            </w:r>
          </w:p>
        </w:tc>
      </w:tr>
      <w:tr>
        <w:tc>
          <w:tcPr>
            <w:tcW w:type="dxa" w:w="5256"/>
            <w:shd w:val="clear" w:fill="E5F4F6"/>
          </w:tcPr>
          <w:p>
            <w:r>
              <w:rPr>
                <w:b/>
                <w:color w:val="0C2E3F"/>
                <w:sz w:val="17"/>
              </w:rPr>
              <w:t>Why / In line with your goals (bullets)</w:t>
            </w:r>
          </w:p>
        </w:tc>
        <w:tc>
          <w:tcPr>
            <w:tcW w:type="dxa" w:w="5256"/>
          </w:tcPr>
          <w:p>
            <w:r>
              <w:rPr>
                <w:color w:val="B8860B"/>
                <w:sz w:val="19"/>
              </w:rPr>
              <w:t>• Reduces bad (non‑deductible) debt, improves cashflow and brings forward the date your home loan is repaid.</w:t>
            </w:r>
          </w:p>
        </w:tc>
      </w:tr>
      <w:tr>
        <w:tc>
          <w:tcPr>
            <w:tcW w:type="dxa" w:w="5256"/>
            <w:shd w:val="clear" w:fill="E5F4F6"/>
          </w:tcPr>
          <w:p>
            <w:r>
              <w:rPr>
                <w:b/>
                <w:color w:val="0C2E3F"/>
                <w:sz w:val="17"/>
              </w:rPr>
              <w:t>Risks &amp; Disadvantages (bullets)</w:t>
            </w:r>
          </w:p>
        </w:tc>
        <w:tc>
          <w:tcPr>
            <w:tcW w:type="dxa" w:w="5256"/>
          </w:tcPr>
          <w:p>
            <w:r>
              <w:rPr>
                <w:color w:val="B8860B"/>
                <w:sz w:val="19"/>
              </w:rPr>
              <w:t>• Applying the funds to debt reduces your available liquidity; consider retaining an appropriate cash buffer for emergencies.</w:t>
            </w:r>
          </w:p>
        </w:tc>
      </w:tr>
      <w:tr>
        <w:tc>
          <w:tcPr>
            <w:tcW w:type="dxa" w:w="5256"/>
            <w:shd w:val="clear" w:fill="E5F4F6"/>
          </w:tcPr>
          <w:p>
            <w:r>
              <w:rPr>
                <w:b/>
                <w:color w:val="0C2E3F"/>
                <w:sz w:val="17"/>
              </w:rPr>
              <w:t>Alternatives (bullets)</w:t>
            </w:r>
          </w:p>
        </w:tc>
        <w:tc>
          <w:tcPr>
            <w:tcW w:type="dxa" w:w="5256"/>
          </w:tcPr>
          <w:p>
            <w:r>
              <w:rPr>
                <w:color w:val="B8860B"/>
                <w:sz w:val="19"/>
              </w:rPr>
              <w:t>• We considered investing the inheritance instead of reducing the home loan. This was not recommended as reducing non‑deductible debt provides a certain, tax‑effective return equal to your home loan interest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 benefit entitlement and any valuable insurance held in the scheme.</w:t>
              <w:br/>
              <w:t>• Continuing concessional contributions helps reduce the effect of fees/premiums and provides net tax savings of approximately $XXX p.a.</w:t>
            </w:r>
          </w:p>
        </w:tc>
      </w:tr>
      <w:tr>
        <w:tc>
          <w:tcPr>
            <w:tcW w:type="dxa" w:w="5256"/>
            <w:shd w:val="clear" w:fill="E5F4F6"/>
          </w:tcPr>
          <w:p>
            <w:r>
              <w:rPr>
                <w:b/>
                <w:color w:val="0C2E3F"/>
                <w:sz w:val="17"/>
              </w:rPr>
              <w:t>Risks &amp; Disadvantages (bullets)</w:t>
            </w:r>
          </w:p>
        </w:tc>
        <w:tc>
          <w:tcPr>
            <w:tcW w:type="dxa" w:w="5256"/>
          </w:tcPr>
          <w:p>
            <w:r>
              <w:rPr>
                <w:sz w:val="19"/>
              </w:rP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We have scoped out your Military Super (Defined Benefit) as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color w:val="B8860B"/>
                <w:sz w:val="19"/>
              </w:rPr>
              <w:t>We recommend you convert your existing superannuation to a new Account-Based Pension and rebalance in line with your risk profile using the CARE philosophy, drawing a pension of approximately $XXX p.a.</w:t>
            </w:r>
          </w:p>
        </w:tc>
      </w:tr>
      <w:tr>
        <w:tc>
          <w:tcPr>
            <w:tcW w:type="dxa" w:w="5256"/>
            <w:shd w:val="clear" w:fill="E5F4F6"/>
          </w:tcPr>
          <w:p>
            <w:r>
              <w:rPr>
                <w:b/>
                <w:color w:val="0C2E3F"/>
                <w:sz w:val="17"/>
              </w:rPr>
              <w:t>Summary – Outcomes line</w:t>
            </w:r>
          </w:p>
        </w:tc>
        <w:tc>
          <w:tcPr>
            <w:tcW w:type="dxa" w:w="5256"/>
          </w:tcPr>
          <w:p>
            <w:r>
              <w:rPr>
                <w:color w:val="B8860B"/>
                <w:sz w:val="19"/>
              </w:rPr>
              <w:t>Commencing a pension provides tax‑free investment earnings within the fund and a tax‑effective income stream to fund your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Rolling over your accumulation balance to a pension account means all future earnings within the fund will be tax free.</w:t>
              <w:br/>
              <w:t>• Drawing an income stream will provide you with the funds required to maintain your lifestyle in line with your retirement goals.</w:t>
              <w:br/>
              <w:t>• Funding your lifestyle in this manner ensures you are drawing down your retirement capital in the most tax-efficient manner.</w:t>
            </w:r>
          </w:p>
        </w:tc>
      </w:tr>
      <w:tr>
        <w:tc>
          <w:tcPr>
            <w:tcW w:type="dxa" w:w="5256"/>
            <w:shd w:val="clear" w:fill="E5F4F6"/>
          </w:tcPr>
          <w:p>
            <w:r>
              <w:rPr>
                <w:b/>
                <w:color w:val="0C2E3F"/>
                <w:sz w:val="17"/>
              </w:rPr>
              <w:t>Risks &amp; Disadvantages (bullets)</w:t>
            </w:r>
          </w:p>
        </w:tc>
        <w:tc>
          <w:tcPr>
            <w:tcW w:type="dxa" w:w="5256"/>
          </w:tcPr>
          <w:p>
            <w:r>
              <w:rPr>
                <w:color w:val="B8860B"/>
                <w:sz w:val="19"/>
              </w:rPr>
              <w:t>• Amounts moved to pension phase count toward your transfer balance cap.</w:t>
              <w:br/>
              <w:t>• Minimum annual pension payments must be drawn; legislation may change.</w:t>
            </w:r>
          </w:p>
        </w:tc>
      </w:tr>
      <w:tr>
        <w:tc>
          <w:tcPr>
            <w:tcW w:type="dxa" w:w="5256"/>
            <w:shd w:val="clear" w:fill="E5F4F6"/>
          </w:tcPr>
          <w:p>
            <w:r>
              <w:rPr>
                <w:b/>
                <w:color w:val="0C2E3F"/>
                <w:sz w:val="17"/>
              </w:rPr>
              <w:t>Alternatives (bullets)</w:t>
            </w:r>
          </w:p>
        </w:tc>
        <w:tc>
          <w:tcPr>
            <w:tcW w:type="dxa" w:w="5256"/>
          </w:tcPr>
          <w:p>
            <w:r>
              <w:rPr>
                <w:color w:val="B8860B"/>
                <w:sz w:val="19"/>
              </w:rPr>
              <w:t>• Remain in accumulation phase — discounted as it forgoes the tax‑free earnings available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none of the 10 sample SOAs used a company/bucket company/trust as the ADVICE ENTITY (the family trust was always scoped out). Please send an SOA where the entity IS the client so I can replace these with your real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