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pStyle w:val="Heading1"/>
      </w:pPr>
      <w:r>
        <w:rPr>
          <w:color w:val="1F6FEB"/>
          <w:sz w:val="30"/>
        </w:rPr>
        <w:t>0 · Client framing &amp; scope</w:t>
      </w:r>
    </w:p>
    <w:p>
      <w:r>
        <w:rPr>
          <w:i/>
          <w:color w:val="5B6B76"/>
          <w:sz w:val="18"/>
        </w:rPr>
        <w:t>Document-level wording. Triggered by whether the advice request marks the client NEW or EXISTING, and which areas are scoped in/out.</w:t>
      </w:r>
    </w:p>
    <w:p>
      <w:pPr>
        <w:pStyle w:val="Heading2"/>
      </w:pPr>
      <w:r>
        <w:rPr>
          <w:color w:val="0C2E3F"/>
          <w:sz w:val="23"/>
        </w:rPr>
        <w:t>New client — Introduction &amp; Current Situation opener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Existing / current client — Introduction &amp; Current Situation opener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Risk profile — reviewed &amp; remains appropriate (existing client)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Scope — reference by incorporation (existing client)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Scope-out — business advice (and other common scope-outs)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1"/>
      </w:pPr>
      <w:r>
        <w:rPr>
          <w:color w:val="1F6FEB"/>
          <w:sz w:val="30"/>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p>
      <w:pPr>
        <w:pStyle w:val="Heading2"/>
      </w:pPr>
      <w:r>
        <w:rPr>
          <w:color w:val="0C2E3F"/>
          <w:sz w:val="23"/>
        </w:rPr>
        <w:t>Establish or utilise an offset account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 utilise] an offset account against your home loan and hold your cash and surplus within it.</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p>
      <w:pPr>
        <w:pStyle w:val="Heading2"/>
      </w:pPr>
      <w:r>
        <w:rPr>
          <w:color w:val="0C2E3F"/>
          <w:sz w:val="23"/>
        </w:rPr>
        <w:t>Direct surplus income to offset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surplus to offset</w:t>
              <w:br/>
              <w:t>• direct surplus income</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surplus income of $___ to your home loan offset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Direct tax savings to offset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tax savings to offset</w:t>
              <w:br/>
              <w:t>• direct tax savings</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tax savings of $___ to your home loan offset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Use cash / sale proceeds to reduce the home loan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p>
      <w:pPr>
        <w:pStyle w:val="Heading2"/>
      </w:pPr>
      <w:r>
        <w:rPr>
          <w:color w:val="0C2E3F"/>
          <w:sz w:val="23"/>
        </w:rPr>
        <w:t>Retain an emergency cash buffer in the offset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Consolidate car loan into home loan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p>
      <w:pPr>
        <w:pStyle w:val="Heading2"/>
      </w:pPr>
      <w:r>
        <w:rPr>
          <w:color w:val="0C2E3F"/>
          <w:sz w:val="23"/>
        </w:rPr>
        <w:t>Consolidate other debt (personal loan / credit card)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clear your credit card / personal loan balance using funds from your home loan offset account, and close the facility to prevent re-accumulation.</w:t>
            </w:r>
          </w:p>
        </w:tc>
      </w:tr>
      <w:tr>
        <w:tc>
          <w:tcPr>
            <w:tcW w:type="dxa" w:w="5256"/>
            <w:shd w:val="clear" w:fill="E5F4F6"/>
          </w:tcPr>
          <w:p>
            <w:r>
              <w:rPr>
                <w:b/>
                <w:color w:val="0C2E3F"/>
                <w:sz w:val="17"/>
              </w:rPr>
              <w:t>Summary – Outcomes line</w:t>
            </w:r>
          </w:p>
        </w:tc>
        <w:tc>
          <w:tcPr>
            <w:tcW w:type="dxa" w:w="5256"/>
          </w:tcPr>
          <w:p>
            <w:r>
              <w:rPr>
                <w:sz w:val="19"/>
              </w:rPr>
              <w:t>High-interest consumer debt is repaid using lower-cost funds, and the facility is closed to stop it building up again.</w:t>
            </w:r>
          </w:p>
        </w:tc>
      </w:tr>
      <w:tr>
        <w:tc>
          <w:tcPr>
            <w:tcW w:type="dxa" w:w="5256"/>
            <w:shd w:val="clear" w:fill="E5F4F6"/>
          </w:tcPr>
          <w:p>
            <w:r>
              <w:rPr>
                <w:b/>
                <w:color w:val="0C2E3F"/>
                <w:sz w:val="17"/>
              </w:rPr>
              <w:t>Why / In line with your goals (bullets)</w:t>
            </w:r>
          </w:p>
        </w:tc>
        <w:tc>
          <w:tcPr>
            <w:tcW w:type="dxa" w:w="5256"/>
          </w:tcPr>
          <w:p>
            <w:r>
              <w:rPr>
                <w:sz w:val="19"/>
              </w:rPr>
              <w:t>• Credit cards and personal loans typically carry far higher interest than your home loan; clearing them removes that high-cost interest.</w:t>
              <w:br/>
              <w:t>• Closing the facility removes the temptation to re-borrow.</w:t>
            </w:r>
          </w:p>
        </w:tc>
      </w:tr>
      <w:tr>
        <w:tc>
          <w:tcPr>
            <w:tcW w:type="dxa" w:w="5256"/>
            <w:shd w:val="clear" w:fill="E5F4F6"/>
          </w:tcPr>
          <w:p>
            <w:r>
              <w:rPr>
                <w:b/>
                <w:color w:val="0C2E3F"/>
                <w:sz w:val="17"/>
              </w:rPr>
              <w:t>Risks &amp; Disadvantages (bullets)</w:t>
            </w:r>
          </w:p>
        </w:tc>
        <w:tc>
          <w:tcPr>
            <w:tcW w:type="dxa" w:w="5256"/>
          </w:tcPr>
          <w:p>
            <w:r>
              <w:rPr>
                <w:sz w:val="19"/>
              </w:rPr>
              <w:t>• If the facility is not closed, the balance can re-accumulate; closing a card may briefly affect your credit score.</w:t>
            </w:r>
          </w:p>
        </w:tc>
      </w:tr>
      <w:tr>
        <w:tc>
          <w:tcPr>
            <w:tcW w:type="dxa" w:w="5256"/>
            <w:shd w:val="clear" w:fill="E5F4F6"/>
          </w:tcPr>
          <w:p>
            <w:r>
              <w:rPr>
                <w:b/>
                <w:color w:val="0C2E3F"/>
                <w:sz w:val="17"/>
              </w:rPr>
              <w:t>Alternatives (bullets)</w:t>
            </w:r>
          </w:p>
        </w:tc>
        <w:tc>
          <w:tcPr>
            <w:tcW w:type="dxa" w:w="5256"/>
          </w:tcPr>
          <w:p>
            <w:r>
              <w:rPr>
                <w:sz w:val="19"/>
              </w:rPr>
              <w:t>• Maintain minimum repayments on the existing facility — discounted as it leaves high-interest debt in place.</w:t>
            </w:r>
          </w:p>
        </w:tc>
      </w:tr>
    </w:tbl>
    <w:p/>
    <w:p>
      <w:pPr>
        <w:pStyle w:val="Heading2"/>
      </w:pPr>
      <w:r>
        <w:rPr>
          <w:color w:val="0C2E3F"/>
          <w:sz w:val="23"/>
        </w:rPr>
        <w:t>Refinance investment property loan from P&amp;I to interest only</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p>
      <w:pPr>
        <w:pStyle w:val="Heading2"/>
      </w:pPr>
      <w:r>
        <w:rPr>
          <w:color w:val="0C2E3F"/>
          <w:sz w:val="23"/>
        </w:rPr>
        <w:t>Refinance to draw on available equity (GEARING)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p>
      <w:pPr>
        <w:pStyle w:val="Heading2"/>
      </w:pPr>
      <w:r>
        <w:rPr>
          <w:color w:val="0C2E3F"/>
          <w:sz w:val="23"/>
        </w:rPr>
        <w:t>Use equity to fund the 20% deposit for an investment property purchase (GEARING)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Establish a Term Loan / debt recycling (GEARING)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p>
      <w:pPr>
        <w:pStyle w:val="Heading2"/>
      </w:pPr>
      <w:r>
        <w:rPr>
          <w:color w:val="0C2E3F"/>
          <w:sz w:val="23"/>
        </w:rPr>
        <w:t>Use inheritance / windfall to pay down the home loan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p>
      <w:pPr>
        <w:pStyle w:val="Heading2"/>
      </w:pPr>
      <w:r>
        <w:rPr>
          <w:color w:val="0C2E3F"/>
          <w:sz w:val="23"/>
        </w:rPr>
        <w:t>Switch investment property loan(s) from principal &amp; interest to interest only</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switch your investment property loan(s) from principal &amp; interest to interest only to improve cashflow and maintain tax-deductible debt.</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p>
      <w:pPr>
        <w:pStyle w:val="Heading2"/>
      </w:pPr>
      <w:r>
        <w:rPr>
          <w:color w:val="0C2E3F"/>
          <w:sz w:val="23"/>
        </w:rPr>
        <w:t>Custom debt management strategy (free text)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custom debt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debt recommendation; it pulls through verbatim.]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Sell current home and purchase a new home (PPR — set aside funds)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br/>
              <w:t>• new home</w:t>
              <w:br/>
              <w:t>• made an offer</w:t>
              <w:br/>
              <w:t>• equity loan for deposit</w:t>
              <w:br/>
              <w:t>• home upgrade</w:t>
              <w:br/>
              <w:t>• sell current home and upgrade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sz w:val="19"/>
              </w:rPr>
              <w:t>You intend to sell your current home. As this is your principal residence we do not provide advice on it; we recommend you set aside $___ to fund the purchase of your new home.</w:t>
            </w:r>
          </w:p>
        </w:tc>
      </w:tr>
      <w:tr>
        <w:tc>
          <w:tcPr>
            <w:tcW w:type="dxa" w:w="5256"/>
            <w:shd w:val="clear" w:fill="E5F4F6"/>
          </w:tcPr>
          <w:p>
            <w:r>
              <w:rPr>
                <w:b/>
                <w:color w:val="0C2E3F"/>
                <w:sz w:val="17"/>
              </w:rPr>
              <w:t>Summary – Outcomes line</w:t>
            </w:r>
          </w:p>
        </w:tc>
        <w:tc>
          <w:tcPr>
            <w:tcW w:type="dxa" w:w="5256"/>
          </w:tcPr>
          <w:p>
            <w:r>
              <w:rPr>
                <w:sz w:val="19"/>
              </w:rPr>
              <w:t>Your move to the new home is funded with an equity-drawdown deposit now, then tidied up with the sale proceeds, and your debt and cashflow are restructured around the upgraded home.</w:t>
            </w:r>
          </w:p>
        </w:tc>
      </w:tr>
      <w:tr>
        <w:tc>
          <w:tcPr>
            <w:tcW w:type="dxa" w:w="5256"/>
            <w:shd w:val="clear" w:fill="E5F4F6"/>
          </w:tcPr>
          <w:p>
            <w:r>
              <w:rPr>
                <w:b/>
                <w:color w:val="0C2E3F"/>
                <w:sz w:val="17"/>
              </w:rPr>
              <w:t>Why / In line with your goals (bullets)</w:t>
            </w:r>
          </w:p>
        </w:tc>
        <w:tc>
          <w:tcPr>
            <w:tcW w:type="dxa" w:w="5256"/>
          </w:tcPr>
          <w:p>
            <w:r>
              <w:rPr>
                <w:sz w:val="19"/>
              </w:rPr>
              <w:t>• Setting aside the required funds ensures the purchase of your next home is covered from sale proceeds and available cash.</w:t>
            </w:r>
          </w:p>
        </w:tc>
      </w:tr>
      <w:tr>
        <w:tc>
          <w:tcPr>
            <w:tcW w:type="dxa" w:w="5256"/>
            <w:shd w:val="clear" w:fill="E5F4F6"/>
          </w:tcPr>
          <w:p>
            <w:r>
              <w:rPr>
                <w:b/>
                <w:color w:val="0C2E3F"/>
                <w:sz w:val="17"/>
              </w:rPr>
              <w:t>Risks &amp; Disadvantages (bullets)</w:t>
            </w:r>
          </w:p>
        </w:tc>
        <w:tc>
          <w:tcPr>
            <w:tcW w:type="dxa" w:w="5256"/>
          </w:tcPr>
          <w:p>
            <w:r>
              <w:rPr>
                <w:sz w:val="19"/>
              </w:rPr>
              <w:t>• Sale price and timing are uncertain; transaction costs (agent, legal, stamp duty) apply.</w:t>
            </w:r>
          </w:p>
        </w:tc>
      </w:tr>
      <w:tr>
        <w:tc>
          <w:tcPr>
            <w:tcW w:type="dxa" w:w="5256"/>
            <w:shd w:val="clear" w:fill="E5F4F6"/>
          </w:tcPr>
          <w:p>
            <w:r>
              <w:rPr>
                <w:b/>
                <w:color w:val="0C2E3F"/>
                <w:sz w:val="17"/>
              </w:rPr>
              <w:t>Alternatives (bullets)</w:t>
            </w:r>
          </w:p>
        </w:tc>
        <w:tc>
          <w:tcPr>
            <w:tcW w:type="dxa" w:w="5256"/>
          </w:tcPr>
          <w:p>
            <w:r>
              <w:rPr>
                <w:sz w:val="19"/>
              </w:rPr>
            </w:r>
          </w:p>
        </w:tc>
      </w:tr>
    </w:tbl>
    <w:p/>
    <w:p>
      <w:pPr>
        <w:pStyle w:val="Heading1"/>
      </w:pPr>
      <w:r>
        <w:rPr>
          <w:color w:val="1F6FEB"/>
          <w:sz w:val="30"/>
        </w:rPr>
        <w:t>2 · Investment Property</w:t>
      </w:r>
    </w:p>
    <w:p>
      <w:r>
        <w:rPr>
          <w:i/>
          <w:color w:val="5B6B76"/>
          <w:sz w:val="18"/>
        </w:rPr>
        <w:t>Existing or proposed. The purchase‑using‑equity wording is verbatim from your SOAs; the event scenarios (sell‑to‑buy, upgrade, convert to IP, downsizer) are my drafts for your review.</w:t>
      </w:r>
    </w:p>
    <w:p>
      <w:pPr>
        <w:pStyle w:val="Heading2"/>
      </w:pPr>
      <w:r>
        <w:rPr>
          <w:color w:val="0C2E3F"/>
          <w:sz w:val="23"/>
        </w:rPr>
        <w:t>Purchase an investment property using equity</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p>
      <w:pPr>
        <w:pStyle w:val="Heading2"/>
      </w:pPr>
      <w:r>
        <w:rPr>
          <w:color w:val="0C2E3F"/>
          <w:sz w:val="23"/>
        </w:rPr>
        <w:t>Purchase an investment property using cash / savings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p>
      <w:pPr>
        <w:pStyle w:val="Heading2"/>
      </w:pPr>
      <w:r>
        <w:rPr>
          <w:color w:val="0C2E3F"/>
          <w:sz w:val="23"/>
        </w:rPr>
        <w:t>Sell current property and use proceeds to buy a new property</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p>
      <w:pPr>
        <w:pStyle w:val="Heading2"/>
      </w:pPr>
      <w:r>
        <w:rPr>
          <w:color w:val="0C2E3F"/>
          <w:sz w:val="23"/>
        </w:rPr>
        <w:t>Convert current home into an investment property</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p>
      <w:pPr>
        <w:pStyle w:val="Heading2"/>
      </w:pPr>
      <w:r>
        <w:rPr>
          <w:color w:val="0C2E3F"/>
          <w:sz w:val="23"/>
        </w:rPr>
        <w:t>Retain an existing investment property</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the investment property</w:t>
              <w:br/>
              <w:t>• hold the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property for now. Where a sale is intended, we recommend timing it to occur after your fund has commenced pension phase to minimise capital gains tax, and directing the proceeds to fund your retirement income.</w:t>
            </w:r>
          </w:p>
        </w:tc>
      </w:tr>
      <w:tr>
        <w:tc>
          <w:tcPr>
            <w:tcW w:type="dxa" w:w="5256"/>
            <w:shd w:val="clear" w:fill="E5F4F6"/>
          </w:tcPr>
          <w:p>
            <w:r>
              <w:rPr>
                <w:b/>
                <w:color w:val="0C2E3F"/>
                <w:sz w:val="17"/>
              </w:rPr>
              <w:t>Summary – Outcomes line</w:t>
            </w:r>
          </w:p>
        </w:tc>
        <w:tc>
          <w:tcPr>
            <w:tcW w:type="dxa" w:w="5256"/>
          </w:tcPr>
          <w:p>
            <w:r>
              <w:rPr>
                <w:sz w:val="19"/>
              </w:rPr>
              <w:t>The property is retained and, if sold, the sale is timed for the pension phase to reduce or remove CGT, with proceeds funding your income.</w:t>
            </w:r>
          </w:p>
        </w:tc>
      </w:tr>
      <w:tr>
        <w:tc>
          <w:tcPr>
            <w:tcW w:type="dxa" w:w="5256"/>
            <w:shd w:val="clear" w:fill="E5F4F6"/>
          </w:tcPr>
          <w:p>
            <w:r>
              <w:rPr>
                <w:b/>
                <w:color w:val="0C2E3F"/>
                <w:sz w:val="17"/>
              </w:rPr>
              <w:t>Why / In line with your goals (bullets)</w:t>
            </w:r>
          </w:p>
        </w:tc>
        <w:tc>
          <w:tcPr>
            <w:tcW w:type="dxa" w:w="5256"/>
          </w:tcPr>
          <w:p>
            <w:r>
              <w:rPr>
                <w:sz w:val="19"/>
              </w:rPr>
              <w:t>• Retaining the property preserves the asset and rental income; timing any eventual sale to the pension phase reduces the CGT payable on the gain.</w:t>
            </w:r>
          </w:p>
        </w:tc>
      </w:tr>
      <w:tr>
        <w:tc>
          <w:tcPr>
            <w:tcW w:type="dxa" w:w="5256"/>
            <w:shd w:val="clear" w:fill="E5F4F6"/>
          </w:tcPr>
          <w:p>
            <w:r>
              <w:rPr>
                <w:b/>
                <w:color w:val="0C2E3F"/>
                <w:sz w:val="17"/>
              </w:rPr>
              <w:t>Risks &amp; Disadvantages (bullets)</w:t>
            </w:r>
          </w:p>
        </w:tc>
        <w:tc>
          <w:tcPr>
            <w:tcW w:type="dxa" w:w="5256"/>
          </w:tcPr>
          <w:p>
            <w:r>
              <w:rPr>
                <w:sz w:val="19"/>
              </w:rPr>
              <w:t>• Property is illiquid and concentrated; market timing on any sale is uncertain; confirm the tax treatment with your accountant.</w:t>
            </w:r>
          </w:p>
        </w:tc>
      </w:tr>
      <w:tr>
        <w:tc>
          <w:tcPr>
            <w:tcW w:type="dxa" w:w="5256"/>
            <w:shd w:val="clear" w:fill="E5F4F6"/>
          </w:tcPr>
          <w:p>
            <w:r>
              <w:rPr>
                <w:b/>
                <w:color w:val="0C2E3F"/>
                <w:sz w:val="17"/>
              </w:rPr>
              <w:t>Alternatives (bullets)</w:t>
            </w:r>
          </w:p>
        </w:tc>
        <w:tc>
          <w:tcPr>
            <w:tcW w:type="dxa" w:w="5256"/>
          </w:tcPr>
          <w:p>
            <w:r>
              <w:rPr>
                <w:sz w:val="19"/>
              </w:rPr>
              <w:t>• Sell the property now — discounted where deferring the sale to pension phase materially reduces CGT.</w:t>
            </w:r>
          </w:p>
        </w:tc>
      </w:tr>
    </w:tbl>
    <w:p/>
    <w:p>
      <w:pPr>
        <w:pStyle w:val="Heading2"/>
      </w:pPr>
      <w:r>
        <w:rPr>
          <w:color w:val="0C2E3F"/>
          <w:sz w:val="23"/>
        </w:rPr>
        <w:t>Sell an existing investment property</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p>
      <w:pPr>
        <w:pStyle w:val="Heading2"/>
      </w:pPr>
      <w:r>
        <w:rPr>
          <w:color w:val="0C2E3F"/>
          <w:sz w:val="23"/>
        </w:rPr>
        <w:t>Downsizer (sell home, downsize, contribute proceeds)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downsize</w:t>
              <w:br/>
              <w:t>• sell home and downsize</w:t>
              <w:br/>
              <w:t>• sell the home</w:t>
              <w:br/>
              <w:t>• downsizing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sz w:val="19"/>
              </w:rPr>
              <w:t>You have advised you have sold (or intend to sell) your home and would like to use the proceeds to assist in funding your retirement. We recommend you downsize and direct the proceeds to superannuation via the downsizer contribution.</w:t>
            </w:r>
          </w:p>
        </w:tc>
      </w:tr>
      <w:tr>
        <w:tc>
          <w:tcPr>
            <w:tcW w:type="dxa" w:w="5256"/>
            <w:shd w:val="clear" w:fill="E5F4F6"/>
          </w:tcPr>
          <w:p>
            <w:r>
              <w:rPr>
                <w:b/>
                <w:color w:val="0C2E3F"/>
                <w:sz w:val="17"/>
              </w:rPr>
              <w:t>Summary – Outcomes line</w:t>
            </w:r>
          </w:p>
        </w:tc>
        <w:tc>
          <w:tcPr>
            <w:tcW w:type="dxa" w:w="5256"/>
          </w:tcPr>
          <w:p>
            <w:r>
              <w:rPr>
                <w:sz w:val="19"/>
              </w:rPr>
              <w:t>Selling and downsizing frees up capital from your home which is redirected into super to fund retirement, without affecting your existing Centrelink entitlements where confirmed.</w:t>
            </w:r>
          </w:p>
        </w:tc>
      </w:tr>
      <w:tr>
        <w:tc>
          <w:tcPr>
            <w:tcW w:type="dxa" w:w="5256"/>
            <w:shd w:val="clear" w:fill="E5F4F6"/>
          </w:tcPr>
          <w:p>
            <w:r>
              <w:rPr>
                <w:b/>
                <w:color w:val="0C2E3F"/>
                <w:sz w:val="17"/>
              </w:rPr>
              <w:t>Why / In line with your goals (bullets)</w:t>
            </w:r>
          </w:p>
        </w:tc>
        <w:tc>
          <w:tcPr>
            <w:tcW w:type="dxa" w:w="5256"/>
          </w:tcPr>
          <w:p>
            <w:r>
              <w:rPr>
                <w:sz w:val="19"/>
              </w:rPr>
              <w:t>• Downsizing releases equity tied up in your home and, via the downsizer contribution, moves it into the tax-effective super environment to fund a retirement income stream.</w:t>
            </w:r>
          </w:p>
        </w:tc>
      </w:tr>
      <w:tr>
        <w:tc>
          <w:tcPr>
            <w:tcW w:type="dxa" w:w="5256"/>
            <w:shd w:val="clear" w:fill="E5F4F6"/>
          </w:tcPr>
          <w:p>
            <w:r>
              <w:rPr>
                <w:b/>
                <w:color w:val="0C2E3F"/>
                <w:sz w:val="17"/>
              </w:rPr>
              <w:t>Risks &amp; Disadvantages (bullets)</w:t>
            </w:r>
          </w:p>
        </w:tc>
        <w:tc>
          <w:tcPr>
            <w:tcW w:type="dxa" w:w="5256"/>
          </w:tcPr>
          <w:p>
            <w:r>
              <w:rPr>
                <w:sz w:val="19"/>
              </w:rPr>
              <w:t>• Selling and buying incurs transaction costs (agent, legal, stamp duty); proceeds in super are preserved; the home sale and any new purchase must be timed carefully.</w:t>
            </w:r>
          </w:p>
        </w:tc>
      </w:tr>
      <w:tr>
        <w:tc>
          <w:tcPr>
            <w:tcW w:type="dxa" w:w="5256"/>
            <w:shd w:val="clear" w:fill="E5F4F6"/>
          </w:tcPr>
          <w:p>
            <w:r>
              <w:rPr>
                <w:b/>
                <w:color w:val="0C2E3F"/>
                <w:sz w:val="17"/>
              </w:rPr>
              <w:t>Alternatives (bullets)</w:t>
            </w:r>
          </w:p>
        </w:tc>
        <w:tc>
          <w:tcPr>
            <w:tcW w:type="dxa" w:w="5256"/>
          </w:tcPr>
          <w:p>
            <w:r>
              <w:rPr>
                <w:sz w:val="19"/>
              </w:rPr>
              <w:t>• Retain the home and draw on other assets — discounted where releasing home equity is needed to fund retirement.</w:t>
            </w:r>
          </w:p>
        </w:tc>
      </w:tr>
    </w:tbl>
    <w:p/>
    <w:p>
      <w:pPr>
        <w:pStyle w:val="Heading1"/>
      </w:pPr>
      <w:r>
        <w:rPr>
          <w:color w:val="1F6FEB"/>
          <w:sz w:val="30"/>
        </w:rPr>
        <w:t>3 · Investment Bond</w:t>
      </w:r>
    </w:p>
    <w:p>
      <w:r>
        <w:rPr>
          <w:i/>
          <w:color w:val="5B6B76"/>
          <w:sz w:val="18"/>
        </w:rPr>
        <w:t>Investment bond strategies + product, separate from the investment plan.</w:t>
      </w:r>
    </w:p>
    <w:p>
      <w:pPr>
        <w:pStyle w:val="Heading2"/>
      </w:pPr>
      <w:r>
        <w:rPr>
          <w:color w:val="0C2E3F"/>
          <w:sz w:val="23"/>
        </w:rPr>
        <w:t>Establish an investment bond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br/>
              <w:t>• establish investment bond</w:t>
              <w:br/>
              <w:t>• new investment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(commonly for children's education / high-income earners)</w:t>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tc>
      </w:tr>
      <w:tr>
        <w:tc>
          <w:tcPr>
            <w:tcW w:type="dxa" w:w="5256"/>
            <w:shd w:val="clear" w:fill="E5F4F6"/>
          </w:tcPr>
          <w:p>
            <w:r>
              <w:rPr>
                <w:b/>
                <w:color w:val="0C2E3F"/>
                <w:sz w:val="17"/>
              </w:rPr>
              <w:t>Summary – Outcomes line</w:t>
            </w:r>
          </w:p>
        </w:tc>
        <w:tc>
          <w:tcPr>
            <w:tcW w:type="dxa" w:w="5256"/>
          </w:tcPr>
          <w:p>
            <w:r>
              <w:rPr>
                <w:sz w:val="19"/>
              </w:rPr>
              <w:t>An investment bond provides a tax-effective, long-term structure (earnings taxed within the bond at a maximum of 30%, with no tax payable on withdrawals subject to the 10-year rule), ideal for accumulating for your children's future.</w:t>
            </w:r>
          </w:p>
        </w:tc>
      </w:tr>
      <w:tr>
        <w:tc>
          <w:tcPr>
            <w:tcW w:type="dxa" w:w="5256"/>
            <w:shd w:val="clear" w:fill="E5F4F6"/>
          </w:tcPr>
          <w:p>
            <w:r>
              <w:rPr>
                <w:b/>
                <w:color w:val="0C2E3F"/>
                <w:sz w:val="17"/>
              </w:rPr>
              <w:t>Why / In line with your goals (bullets)</w:t>
            </w:r>
          </w:p>
        </w:tc>
        <w:tc>
          <w:tcPr>
            <w:tcW w:type="dxa" w:w="5256"/>
          </w:tcPr>
          <w:p>
            <w:r>
              <w:rPr>
                <w:sz w:val="19"/>
              </w:rPr>
              <w:t>• Earnings within the bond are taxed at a maximum of 30% (not your marginal rate), and there is no tax payable on future withdrawals subject to the 10-year rule.</w:t>
              <w:br/>
              <w:t>• You can nominate your child / beneficiary on the account, making it a tax-effective vehicle to accumulate for their future (e.g. education).</w:t>
              <w:br/>
              <w:t>• The recommended index funds aim to track particular market indices — a passive, cost-effective way to gain broad, diversified market exposure, reducing overall risk.</w:t>
            </w:r>
          </w:p>
        </w:tc>
      </w:tr>
      <w:tr>
        <w:tc>
          <w:tcPr>
            <w:tcW w:type="dxa" w:w="5256"/>
            <w:shd w:val="clear" w:fill="E5F4F6"/>
          </w:tcPr>
          <w:p>
            <w:r>
              <w:rPr>
                <w:b/>
                <w:color w:val="0C2E3F"/>
                <w:sz w:val="17"/>
              </w:rPr>
              <w:t>Risks &amp; Disadvantages (bullets)</w:t>
            </w:r>
          </w:p>
        </w:tc>
        <w:tc>
          <w:tcPr>
            <w:tcW w:type="dxa" w:w="5256"/>
          </w:tcPr>
          <w:p>
            <w:r>
              <w:rPr>
                <w:sz w:val="19"/>
              </w:rPr>
              <w:t>• If you withdraw part or all of your investment bond prior to the 10th year, some of the profits will be assessable to you, although you will receive a 30% tax offset equal to the assessable amount.</w:t>
              <w:br/>
              <w:t>• If you contribute more than 125% of the previous year's contributions, the 10-year period will restart (this applies where, for example, you make no contribution in a year and then later look to make further contributions).</w:t>
              <w:br/>
              <w:t>• You may pay a buy/sell spread and switching fees; there are fees and costs associated with using an investment bond.</w:t>
              <w:br/>
              <w:t>• Investment bonds involve some investment risk and do not guarantee your returns; values may fall. By investing instead of holding cash you lose capital stability and access to the government deposit guarantee up to $250,000.</w:t>
            </w:r>
          </w:p>
        </w:tc>
      </w:tr>
      <w:tr>
        <w:tc>
          <w:tcPr>
            <w:tcW w:type="dxa" w:w="5256"/>
            <w:shd w:val="clear" w:fill="E5F4F6"/>
          </w:tcPr>
          <w:p>
            <w:r>
              <w:rPr>
                <w:b/>
                <w:color w:val="0C2E3F"/>
                <w:sz w:val="17"/>
              </w:rPr>
              <w:t>Alternatives (bullets)</w:t>
            </w:r>
          </w:p>
        </w:tc>
        <w:tc>
          <w:tcPr>
            <w:tcW w:type="dxa" w:w="5256"/>
          </w:tcPr>
          <w:p>
            <w:r>
              <w:rPr>
                <w:sz w:val="19"/>
              </w:rPr>
              <w:t>• Hold the funds in cash (a cash management trust or savings account) for your children — discounted as, over the medium to long term, a managed investment provides greater opportunity for capital growth than holding cash.</w:t>
              <w:br/>
              <w:t>• Invest via an ordinary investment platform for your children — discounted as you would not receive the same tax benefits (earnings taxed at a maximum of 30% and no tax payable on future withdrawals, subject to the 10-year rule).</w:t>
              <w:br/>
              <w:t>• We completed a price comparison between Generation Life, Australian Unity and Centuria investment bonds. Generation Life was the most cost-effective platform.</w:t>
            </w:r>
          </w:p>
        </w:tc>
      </w:tr>
    </w:tbl>
    <w:p/>
    <w:p>
      <w:pPr>
        <w:pStyle w:val="Heading2"/>
      </w:pPr>
      <w:r>
        <w:rPr>
          <w:color w:val="0C2E3F"/>
          <w:sz w:val="23"/>
        </w:rPr>
        <w:t>Retain existing investment bond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bond</w:t>
              <w:br/>
              <w:t>• keep existing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bond.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Sell down existing investment bond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bond</w:t>
              <w:br/>
              <w:t>• selldown bond</w:t>
              <w:br/>
              <w:t>• withdraw from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sell down (withdraw from) your existing investment bond.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t>• Withdrawing within the 10-year period may have tax implications (30% offset); the 125% rule may apply.</w:t>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CGT implications — investment bond (free text)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bond cgt</w:t>
              <w:br/>
              <w:t>• investment bond tax</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 tax implications of the bond — 10-year rule, 125% rule, 30% offset on early withdrawal.]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1"/>
      </w:pPr>
      <w:r>
        <w:rPr>
          <w:color w:val="1F6FEB"/>
          <w:sz w:val="30"/>
        </w:rPr>
        <w:t>4 · Investment Plan</w:t>
      </w:r>
    </w:p>
    <w:p>
      <w:r>
        <w:rPr>
          <w:i/>
          <w:color w:val="5B6B76"/>
          <w:sz w:val="18"/>
        </w:rPr>
        <w:t>Regular investment / debt recycling wording is verbatim. Investment bond, lump‑sum and inheritance variants are drafts for your review (no investment‑bond example in these five SOAs — please send one).</w:t>
      </w:r>
    </w:p>
    <w:p>
      <w:pPr>
        <w:pStyle w:val="Heading2"/>
      </w:pPr>
      <w:r>
        <w:rPr>
          <w:color w:val="0C2E3F"/>
          <w:sz w:val="23"/>
        </w:rPr>
        <w:t>Lump-sum investment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p>
      <w:pPr>
        <w:pStyle w:val="Heading2"/>
      </w:pPr>
      <w:r>
        <w:rPr>
          <w:color w:val="0C2E3F"/>
          <w:sz w:val="23"/>
        </w:rPr>
        <w:t>In-specie transfer — retain existing holdings in the new platform (no sale)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in-specie transfer your existing portfolio into the new account and retain the holdings (no sale), avoiding CGT and transaction costs.</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p>
      <w:pPr>
        <w:pStyle w:val="Heading2"/>
      </w:pPr>
      <w:r>
        <w:rPr>
          <w:color w:val="0C2E3F"/>
          <w:sz w:val="23"/>
        </w:rPr>
        <w:t>Use inheritance / windfall to invest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p>
      <w:pPr>
        <w:pStyle w:val="Heading2"/>
      </w:pPr>
      <w:r>
        <w:rPr>
          <w:color w:val="0C2E3F"/>
          <w:sz w:val="23"/>
        </w:rPr>
        <w:t>Sell down existing investment / asset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p>
      <w:pPr>
        <w:pStyle w:val="Heading2"/>
      </w:pPr>
      <w:r>
        <w:rPr>
          <w:color w:val="0C2E3F"/>
          <w:sz w:val="23"/>
        </w:rPr>
        <w:t>Vanguard index option (instead of CARE managed portfolios)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p>
      <w:pPr>
        <w:pStyle w:val="Heading2"/>
      </w:pPr>
      <w:r>
        <w:rPr>
          <w:color w:val="0C2E3F"/>
          <w:sz w:val="23"/>
        </w:rPr>
        <w:t>Money on the move — tactical dollar-cost averaging acceleration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w:t>
              <w:br/>
              <w:t>• accelerate dca</w:t>
              <w:br/>
              <w:t>• bring forward dollar cost averaging</w:t>
              <w:br/>
              <w:t>• tactical dca</w:t>
            </w:r>
          </w:p>
        </w:tc>
      </w:tr>
      <w:tr>
        <w:tc>
          <w:tcPr>
            <w:tcW w:type="dxa" w:w="5256"/>
            <w:shd w:val="clear" w:fill="E5F4F6"/>
          </w:tcPr>
          <w:p>
            <w:r>
              <w:rPr>
                <w:b/>
                <w:color w:val="0C2E3F"/>
                <w:sz w:val="17"/>
              </w:rPr>
              <w:t>Always-on / Tailored</w:t>
            </w:r>
          </w:p>
        </w:tc>
        <w:tc>
          <w:tcPr>
            <w:tcW w:type="dxa" w:w="5256"/>
          </w:tcPr>
          <w:p>
            <w:r>
              <w:rPr>
                <w:sz w:val="19"/>
              </w:rPr>
              <w:t>Tailored (overlay on regular investment)</w:t>
            </w:r>
          </w:p>
        </w:tc>
      </w:tr>
      <w:tr>
        <w:tc>
          <w:tcPr>
            <w:tcW w:type="dxa" w:w="5256"/>
            <w:shd w:val="clear" w:fill="E5F4F6"/>
          </w:tcPr>
          <w:p>
            <w:r>
              <w:rPr>
                <w:b/>
                <w:color w:val="0C2E3F"/>
                <w:sz w:val="17"/>
              </w:rPr>
              <w:t>Scope gate (only show if…)</w:t>
            </w:r>
          </w:p>
        </w:tc>
        <w:tc>
          <w:tcPr>
            <w:tcW w:type="dxa" w:w="5256"/>
          </w:tcPr>
          <w:p>
            <w:r>
              <w:rPr>
                <w:sz w:val="19"/>
              </w:rPr>
              <w:t>Regular investment / DCA scoped</w:t>
            </w:r>
          </w:p>
        </w:tc>
      </w:tr>
      <w:tr>
        <w:tc>
          <w:tcPr>
            <w:tcW w:type="dxa" w:w="5256"/>
            <w:shd w:val="clear" w:fill="E5F4F6"/>
          </w:tcPr>
          <w:p>
            <w:r>
              <w:rPr>
                <w:b/>
                <w:color w:val="0C2E3F"/>
                <w:sz w:val="17"/>
              </w:rPr>
              <w:t>Figures it pulls ($ / %)</w:t>
            </w:r>
          </w:p>
        </w:tc>
        <w:tc>
          <w:tcPr>
            <w:tcW w:type="dxa" w:w="5256"/>
          </w:tcPr>
          <w:p>
            <w:r>
              <w:rPr>
                <w:sz w:val="19"/>
              </w:rPr>
              <w:t>1 month of DCA brought forward per 5% market drop</w:t>
            </w:r>
          </w:p>
        </w:tc>
      </w:tr>
      <w:tr>
        <w:tc>
          <w:tcPr>
            <w:tcW w:type="dxa" w:w="5256"/>
            <w:shd w:val="clear" w:fill="E5F4F6"/>
          </w:tcPr>
          <w:p>
            <w:r>
              <w:rPr>
                <w:b/>
                <w:color w:val="0C2E3F"/>
                <w:sz w:val="17"/>
              </w:rPr>
              <w:t>Summary – Strategies line</w:t>
            </w:r>
          </w:p>
        </w:tc>
        <w:tc>
          <w:tcPr>
            <w:tcW w:type="dxa" w:w="5256"/>
          </w:tcPr>
          <w:p>
            <w:r>
              <w:rPr>
                <w:sz w:val="19"/>
              </w:rPr>
              <w:t>As per the money-on-the-move framework, for every 5% drop in the market we may bring forward one month's dollar-cost averaging to ensure your funds are invested as efficiently as possible.</w:t>
            </w:r>
          </w:p>
        </w:tc>
      </w:tr>
      <w:tr>
        <w:tc>
          <w:tcPr>
            <w:tcW w:type="dxa" w:w="5256"/>
            <w:shd w:val="clear" w:fill="E5F4F6"/>
          </w:tcPr>
          <w:p>
            <w:r>
              <w:rPr>
                <w:b/>
                <w:color w:val="0C2E3F"/>
                <w:sz w:val="17"/>
              </w:rPr>
              <w:t>Summary – Outcomes line</w:t>
            </w:r>
          </w:p>
        </w:tc>
        <w:tc>
          <w:tcPr>
            <w:tcW w:type="dxa" w:w="5256"/>
          </w:tcPr>
          <w:p>
            <w:r>
              <w:rPr>
                <w:sz w:val="19"/>
              </w:rPr>
              <w:t>Capital is deployed faster during market falls, improving the average entry price across your dollar-cost-averaging program.</w:t>
            </w:r>
          </w:p>
        </w:tc>
      </w:tr>
      <w:tr>
        <w:tc>
          <w:tcPr>
            <w:tcW w:type="dxa" w:w="5256"/>
            <w:shd w:val="clear" w:fill="E5F4F6"/>
          </w:tcPr>
          <w:p>
            <w:r>
              <w:rPr>
                <w:b/>
                <w:color w:val="0C2E3F"/>
                <w:sz w:val="17"/>
              </w:rPr>
              <w:t>Why / In line with your goals (bullets)</w:t>
            </w:r>
          </w:p>
        </w:tc>
        <w:tc>
          <w:tcPr>
            <w:tcW w:type="dxa" w:w="5256"/>
          </w:tcPr>
          <w:p>
            <w:r>
              <w:rPr>
                <w:sz w:val="19"/>
              </w:rPr>
              <w:t>• Bringing forward scheduled investments during market falls allows you to invest at lower prices, improving long-term efficiency of the dollar-cost-averaging approach.</w:t>
            </w:r>
          </w:p>
        </w:tc>
      </w:tr>
      <w:tr>
        <w:tc>
          <w:tcPr>
            <w:tcW w:type="dxa" w:w="5256"/>
            <w:shd w:val="clear" w:fill="E5F4F6"/>
          </w:tcPr>
          <w:p>
            <w:r>
              <w:rPr>
                <w:b/>
                <w:color w:val="0C2E3F"/>
                <w:sz w:val="17"/>
              </w:rPr>
              <w:t>Risks &amp; Disadvantages (bullets)</w:t>
            </w:r>
          </w:p>
        </w:tc>
        <w:tc>
          <w:tcPr>
            <w:tcW w:type="dxa" w:w="5256"/>
          </w:tcPr>
          <w:p>
            <w:r>
              <w:rPr>
                <w:sz w:val="19"/>
              </w:rPr>
              <w:t>• Markets may fall further after funds are deployed; accelerating investment increases short-term exposure to further declines.</w:t>
              <w:br/>
              <w:t>• The framework is a guideline applied at our discretion, not a guarantee of improved returns.</w:t>
            </w:r>
          </w:p>
        </w:tc>
      </w:tr>
      <w:tr>
        <w:tc>
          <w:tcPr>
            <w:tcW w:type="dxa" w:w="5256"/>
            <w:shd w:val="clear" w:fill="E5F4F6"/>
          </w:tcPr>
          <w:p>
            <w:r>
              <w:rPr>
                <w:b/>
                <w:color w:val="0C2E3F"/>
                <w:sz w:val="17"/>
              </w:rPr>
              <w:t>Alternatives (bullets)</w:t>
            </w:r>
          </w:p>
        </w:tc>
        <w:tc>
          <w:tcPr>
            <w:tcW w:type="dxa" w:w="5256"/>
          </w:tcPr>
          <w:p>
            <w:r>
              <w:rPr>
                <w:sz w:val="19"/>
              </w:rPr>
              <w:t>• Maintain a fixed dollar-cost-averaging schedule regardless of market movements — discounted as it forgoes the opportunity to invest at lower prices during falls.</w:t>
            </w:r>
          </w:p>
        </w:tc>
      </w:tr>
    </w:tbl>
    <w:p/>
    <w:p>
      <w:pPr>
        <w:pStyle w:val="Heading2"/>
      </w:pPr>
      <w:r>
        <w:rPr>
          <w:color w:val="0C2E3F"/>
          <w:sz w:val="23"/>
        </w:rPr>
        <w:t>Establish a new investment account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joint investment account</w:t>
              <w:br/>
              <w:t>• held jointly</w:t>
              <w:br/>
              <w:t>• joint account</w:t>
              <w:br/>
              <w:t>• new investment account</w:t>
              <w:br/>
              <w:t>• establish investment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establishing a non-super investment account together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sz w:val="19"/>
              </w:rPr>
              <w:t>A single jointly-held portfolio simplifies administration and estate transfer between you.</w:t>
            </w:r>
          </w:p>
        </w:tc>
      </w:tr>
      <w:tr>
        <w:tc>
          <w:tcPr>
            <w:tcW w:type="dxa" w:w="5256"/>
            <w:shd w:val="clear" w:fill="E5F4F6"/>
          </w:tcPr>
          <w:p>
            <w:r>
              <w:rPr>
                <w:b/>
                <w:color w:val="0C2E3F"/>
                <w:sz w:val="17"/>
              </w:rPr>
              <w:t>Why / In line with your goals (bullets)</w:t>
            </w:r>
          </w:p>
        </w:tc>
        <w:tc>
          <w:tcPr>
            <w:tcW w:type="dxa" w:w="5256"/>
          </w:tcPr>
          <w:p>
            <w:r>
              <w:rPr>
                <w:sz w:val="19"/>
              </w:rPr>
              <w:t>• Joint ownership simplifies estate transfer (the account passes to the survivor) and supports a unified investment plan for the household.</w:t>
            </w:r>
          </w:p>
        </w:tc>
      </w:tr>
      <w:tr>
        <w:tc>
          <w:tcPr>
            <w:tcW w:type="dxa" w:w="5256"/>
            <w:shd w:val="clear" w:fill="E5F4F6"/>
          </w:tcPr>
          <w:p>
            <w:r>
              <w:rPr>
                <w:b/>
                <w:color w:val="0C2E3F"/>
                <w:sz w:val="17"/>
              </w:rPr>
              <w:t>Risks &amp; Disadvantages (bullets)</w:t>
            </w:r>
          </w:p>
        </w:tc>
        <w:tc>
          <w:tcPr>
            <w:tcW w:type="dxa" w:w="5256"/>
          </w:tcPr>
          <w:p>
            <w:r>
              <w:rPr>
                <w:sz w:val="19"/>
              </w:rPr>
              <w:t>• A joint account exposes the full balance to either party's creditors and is treated as a shared asset on separation.</w:t>
              <w:br/>
              <w:t>• Income and capital gains are split per ownership, which may not be the most tax-effective split if your incomes differ materially.</w:t>
            </w:r>
          </w:p>
        </w:tc>
      </w:tr>
      <w:tr>
        <w:tc>
          <w:tcPr>
            <w:tcW w:type="dxa" w:w="5256"/>
            <w:shd w:val="clear" w:fill="E5F4F6"/>
          </w:tcPr>
          <w:p>
            <w:r>
              <w:rPr>
                <w:b/>
                <w:color w:val="0C2E3F"/>
                <w:sz w:val="17"/>
              </w:rPr>
              <w:t>Alternatives (bullets)</w:t>
            </w:r>
          </w:p>
        </w:tc>
        <w:tc>
          <w:tcPr>
            <w:tcW w:type="dxa" w:w="5256"/>
          </w:tcPr>
          <w:p>
            <w:r>
              <w:rPr>
                <w:sz w:val="19"/>
              </w:rPr>
              <w:t>• Hold separate individual accounts (cleaner separation) or invest in the lower-income earner's name (more tax-effective) — chosen approach reflects your preference for a shared plan.</w:t>
            </w:r>
          </w:p>
        </w:tc>
      </w:tr>
    </w:tbl>
    <w:p/>
    <w:p>
      <w:pPr>
        <w:pStyle w:val="Heading2"/>
      </w:pPr>
      <w:r>
        <w:rPr>
          <w:color w:val="0C2E3F"/>
          <w:sz w:val="23"/>
        </w:rPr>
        <w:t>Reserves &amp; cash buffer for tactical liquidity (avoid forced selling)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reserves</w:t>
              <w:br/>
              <w:t>• cash buffer</w:t>
              <w:br/>
              <w:t>• liquidity buffer</w:t>
              <w:br/>
              <w:t>• reserves and cash</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 pension portfolio where a cash/reserves sleeve is held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set aside funds in Reserves &amp; Cash to provide you with liquidity and low volatility, so you shouldn't have to sell growth assets through necessity or bad decisions during downturns.</w:t>
            </w:r>
          </w:p>
        </w:tc>
      </w:tr>
      <w:tr>
        <w:tc>
          <w:tcPr>
            <w:tcW w:type="dxa" w:w="5256"/>
            <w:shd w:val="clear" w:fill="E5F4F6"/>
          </w:tcPr>
          <w:p>
            <w:r>
              <w:rPr>
                <w:b/>
                <w:color w:val="0C2E3F"/>
                <w:sz w:val="17"/>
              </w:rPr>
              <w:t>Summary – Outcomes line</w:t>
            </w:r>
          </w:p>
        </w:tc>
        <w:tc>
          <w:tcPr>
            <w:tcW w:type="dxa" w:w="5256"/>
          </w:tcPr>
          <w:p>
            <w:r>
              <w:rPr>
                <w:sz w:val="19"/>
              </w:rPr>
              <w:t>A reserves sleeve funds your needs through market falls, so growth assets are not sold at the wrong time.</w:t>
            </w:r>
          </w:p>
        </w:tc>
      </w:tr>
      <w:tr>
        <w:tc>
          <w:tcPr>
            <w:tcW w:type="dxa" w:w="5256"/>
            <w:shd w:val="clear" w:fill="E5F4F6"/>
          </w:tcPr>
          <w:p>
            <w:r>
              <w:rPr>
                <w:b/>
                <w:color w:val="0C2E3F"/>
                <w:sz w:val="17"/>
              </w:rPr>
              <w:t>Why / In line with your goals (bullets)</w:t>
            </w:r>
          </w:p>
        </w:tc>
        <w:tc>
          <w:tcPr>
            <w:tcW w:type="dxa" w:w="5256"/>
          </w:tcPr>
          <w:p>
            <w:r>
              <w:rPr>
                <w:sz w:val="19"/>
              </w:rPr>
              <w:t>• Holding a low-volatility reserve protects you from forced sales at market troughs and preserves your growth assets to recover.</w:t>
              <w:br/>
              <w:t>• You rebalance by topping up reserves from growth assets as part of your annual review.</w:t>
              <w:br/>
              <w:t>• The reserve can be phased to your circumstances — e.g. hold a reduced reserve (1.5 years instead of the usual 2.5 years of pension requirements) where known cash inflows such as upcoming property sales are due, then restore it, reviewed each year.</w:t>
            </w:r>
          </w:p>
        </w:tc>
      </w:tr>
      <w:tr>
        <w:tc>
          <w:tcPr>
            <w:tcW w:type="dxa" w:w="5256"/>
            <w:shd w:val="clear" w:fill="E5F4F6"/>
          </w:tcPr>
          <w:p>
            <w:r>
              <w:rPr>
                <w:b/>
                <w:color w:val="0C2E3F"/>
                <w:sz w:val="17"/>
              </w:rPr>
              <w:t>Risks &amp; Disadvantages (bullets)</w:t>
            </w:r>
          </w:p>
        </w:tc>
        <w:tc>
          <w:tcPr>
            <w:tcW w:type="dxa" w:w="5256"/>
          </w:tcPr>
          <w:p>
            <w:r>
              <w:rPr>
                <w:sz w:val="19"/>
              </w:rPr>
              <w:t>• Holding reserves creates a return drag during strong markets; the allocation must be rebalanced to stay aligned with your risk profile.</w:t>
            </w:r>
          </w:p>
        </w:tc>
      </w:tr>
      <w:tr>
        <w:tc>
          <w:tcPr>
            <w:tcW w:type="dxa" w:w="5256"/>
            <w:shd w:val="clear" w:fill="E5F4F6"/>
          </w:tcPr>
          <w:p>
            <w:r>
              <w:rPr>
                <w:b/>
                <w:color w:val="0C2E3F"/>
                <w:sz w:val="17"/>
              </w:rPr>
              <w:t>Alternatives (bullets)</w:t>
            </w:r>
          </w:p>
        </w:tc>
        <w:tc>
          <w:tcPr>
            <w:tcW w:type="dxa" w:w="5256"/>
          </w:tcPr>
          <w:p>
            <w:r>
              <w:rPr>
                <w:sz w:val="19"/>
              </w:rPr>
              <w:t>• Remain fully invested for higher expected return — discounted as it exposes you to forced selling in downturns.</w:t>
            </w:r>
          </w:p>
        </w:tc>
      </w:tr>
    </w:tbl>
    <w:p/>
    <w:p>
      <w:pPr>
        <w:pStyle w:val="Heading2"/>
      </w:pPr>
      <w:r>
        <w:rPr>
          <w:color w:val="0C2E3F"/>
          <w:sz w:val="23"/>
        </w:rPr>
        <w:t>Regular investment from cashflow (initial + ongoing)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 from cashflow</w:t>
              <w:br/>
              <w:t>• invest from cashflow</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cashflow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Regular investment from a Term Loan (initial + ongoing)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invest from term loan</w:t>
              <w:br/>
              <w:t>• term loan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Term Loan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Draw an income from the investment (income needs / top up pension / financial freedom)</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draw income from investment</w:t>
              <w:br/>
              <w:t>• drawdown investment</w:t>
              <w:br/>
              <w:t>• top up pension from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pa / pm</w:t>
            </w:r>
          </w:p>
        </w:tc>
      </w:tr>
      <w:tr>
        <w:tc>
          <w:tcPr>
            <w:tcW w:type="dxa" w:w="5256"/>
            <w:shd w:val="clear" w:fill="E5F4F6"/>
          </w:tcPr>
          <w:p>
            <w:r>
              <w:rPr>
                <w:b/>
                <w:color w:val="0C2E3F"/>
                <w:sz w:val="17"/>
              </w:rPr>
              <w:t>Summary – Strategies line</w:t>
            </w:r>
          </w:p>
        </w:tc>
        <w:tc>
          <w:tcPr>
            <w:tcW w:type="dxa" w:w="5256"/>
          </w:tcPr>
          <w:p>
            <w:r>
              <w:rPr>
                <w:sz w:val="19"/>
              </w:rPr>
              <w:t>We recommend you draw an income of $___ from your investment account to help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Rebalance existing holdings into the recommended portfolio</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rebalance into care</w:t>
              <w:br/>
              <w:t>• rebalance existing holdings</w:t>
              <w:br/>
              <w:t>• switch into recommended portfolio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rebalance your existing holdings into the recommended portfolio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Aligns your existing assets to the recommended strategy and risk profile.</w:t>
            </w:r>
          </w:p>
        </w:tc>
      </w:tr>
      <w:tr>
        <w:tc>
          <w:tcPr>
            <w:tcW w:type="dxa" w:w="5256"/>
            <w:shd w:val="clear" w:fill="E5F4F6"/>
          </w:tcPr>
          <w:p>
            <w:r>
              <w:rPr>
                <w:b/>
                <w:color w:val="0C2E3F"/>
                <w:sz w:val="17"/>
              </w:rPr>
              <w:t>Risks &amp; Disadvantages (bullets)</w:t>
            </w:r>
          </w:p>
        </w:tc>
        <w:tc>
          <w:tcPr>
            <w:tcW w:type="dxa" w:w="5256"/>
          </w:tcPr>
          <w:p>
            <w:r>
              <w:rPr>
                <w:sz w:val="19"/>
              </w:rPr>
              <w:t>• Selling existing holdings to rebalance may crystallise CGT and incur transaction costs.</w:t>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CGT wording / implications following a sell-down or CGT event (free text)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cgt</w:t>
              <w:br/>
              <w:t>• capital gains</w:t>
              <w:br/>
              <w:t>• selldown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sell-down / CGT event — estimated gain, discount, tax,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Retain existing investment option and/or platform</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investment</w:t>
              <w:br/>
              <w:t>• retain platform</w:t>
              <w:br/>
              <w:t>• keep existing investment option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option and/or platform and invest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Avoids capital gains and transaction costs of switching where the existing platform/option remains suitable.</w:t>
            </w:r>
          </w:p>
        </w:tc>
      </w:tr>
      <w:tr>
        <w:tc>
          <w:tcPr>
            <w:tcW w:type="dxa" w:w="5256"/>
            <w:shd w:val="clear" w:fill="E5F4F6"/>
          </w:tcPr>
          <w:p>
            <w:r>
              <w:rPr>
                <w:b/>
                <w:color w:val="0C2E3F"/>
                <w:sz w:val="17"/>
              </w:rPr>
              <w:t>Risks &amp; Disadvantages (bullets)</w:t>
            </w:r>
          </w:p>
        </w:tc>
        <w:tc>
          <w:tcPr>
            <w:tcW w:type="dxa" w:w="5256"/>
          </w:tcPr>
          <w:p>
            <w:r>
              <w:rPr>
                <w:sz w:val="19"/>
              </w:rPr>
              <w:t>• The existing platform may cost more than alternatives; reviewed at each ongoing review.</w:t>
            </w:r>
          </w:p>
        </w:tc>
      </w:tr>
      <w:tr>
        <w:tc>
          <w:tcPr>
            <w:tcW w:type="dxa" w:w="5256"/>
            <w:shd w:val="clear" w:fill="E5F4F6"/>
          </w:tcPr>
          <w:p>
            <w:r>
              <w:rPr>
                <w:b/>
                <w:color w:val="0C2E3F"/>
                <w:sz w:val="17"/>
              </w:rPr>
              <w:t>Alternatives (bullets)</w:t>
            </w:r>
          </w:p>
        </w:tc>
        <w:tc>
          <w:tcPr>
            <w:tcW w:type="dxa" w:w="5256"/>
          </w:tcPr>
          <w:p>
            <w:r>
              <w:rPr>
                <w:sz w:val="19"/>
              </w:rPr>
            </w:r>
          </w:p>
        </w:tc>
      </w:tr>
    </w:tbl>
    <w:p/>
    <w:p>
      <w:pPr>
        <w:pStyle w:val="Heading1"/>
      </w:pPr>
      <w:r>
        <w:rPr>
          <w:color w:val="1F6FEB"/>
          <w:sz w:val="30"/>
        </w:rPr>
        <w:t>5 · Personal Superannuation</w:t>
      </w:r>
    </w:p>
    <w:p>
      <w:r>
        <w:rPr>
          <w:i/>
          <w:color w:val="5B6B76"/>
          <w:sz w:val="18"/>
        </w:rPr>
        <w:t>Rollover variants, defined benefit and SMSF wording are verbatim from your SOAs. Military super and pension/TTR variants are drafts.</w:t>
      </w:r>
    </w:p>
    <w:p>
      <w:pPr>
        <w:pStyle w:val="Heading2"/>
      </w:pPr>
      <w:r>
        <w:rPr>
          <w:color w:val="0C2E3F"/>
          <w:sz w:val="23"/>
        </w:rPr>
        <w:t>Establish new fund + full rollover (close &amp; transfer 100%)</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p>
      <w:pPr>
        <w:pStyle w:val="Heading2"/>
      </w:pPr>
      <w:r>
        <w:rPr>
          <w:color w:val="0C2E3F"/>
          <w:sz w:val="23"/>
        </w:rPr>
        <w:t>Establish new fund + partial rollover, retain minimum for insurance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br/>
              <w:t>• Two-stage approach: complete an initial partial rollover retaining the minimum balance (e.g. $6,000) to keep your existing insurance active; once your new cover is in place and underwritten, complete a full rollover to consolidate — this final rollover cancels the old fund's insurance.</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br/>
              <w:t>• Do not cancel the old fund's cover until the new cover is confirmed in place — if the new application is declined or modified, the old cover cannot be reinstated.</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p>
      <w:pPr>
        <w:pStyle w:val="Heading2"/>
      </w:pPr>
      <w:r>
        <w:rPr>
          <w:color w:val="0C2E3F"/>
          <w:sz w:val="23"/>
        </w:rPr>
        <w:t>Retain existing fund (invest in line with risk profile)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p>
      <w:pPr>
        <w:pStyle w:val="Heading2"/>
      </w:pPr>
      <w:r>
        <w:rPr>
          <w:color w:val="0C2E3F"/>
          <w:sz w:val="23"/>
        </w:rPr>
        <w:t>Consolidate multiple super accounts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p>
      <w:pPr>
        <w:pStyle w:val="Heading2"/>
      </w:pPr>
      <w:r>
        <w:rPr>
          <w:color w:val="0C2E3F"/>
          <w:sz w:val="23"/>
        </w:rPr>
        <w:t>In-specie transfer of super holdings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Retain a defined benefit fund (scope 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p>
      <w:pPr>
        <w:pStyle w:val="Heading2"/>
      </w:pPr>
      <w:r>
        <w:rPr>
          <w:color w:val="0C2E3F"/>
          <w:sz w:val="23"/>
        </w:rPr>
        <w:t>Retain military super (member &amp; ancillary + employer/DB portion)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p>
      <w:pPr>
        <w:pStyle w:val="Heading2"/>
      </w:pPr>
      <w:r>
        <w:rPr>
          <w:color w:val="0C2E3F"/>
          <w:sz w:val="23"/>
        </w:rPr>
        <w:t>Redirect / continue employer contributions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Establish / set up an SMSF (and manage — rebalance + pension transition)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p>
      <w:pPr>
        <w:pStyle w:val="Heading2"/>
      </w:pPr>
      <w:r>
        <w:rPr>
          <w:color w:val="0C2E3F"/>
          <w:sz w:val="23"/>
        </w:rPr>
        <w:t>Commence a pension / transition to retirement (TTR)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p>
      <w:pPr>
        <w:pStyle w:val="Heading2"/>
      </w:pPr>
      <w:r>
        <w:rPr>
          <w:color w:val="0C2E3F"/>
          <w:sz w:val="23"/>
        </w:rPr>
        <w:t>Recontribution strategy</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p>
      <w:pPr>
        <w:pStyle w:val="Heading2"/>
      </w:pPr>
      <w:r>
        <w:rPr>
          <w:color w:val="0C2E3F"/>
          <w:sz w:val="23"/>
        </w:rPr>
        <w:t>SMSF wind-up / split on separation (in-specie to personal super)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p>
      <w:pPr>
        <w:pStyle w:val="Heading2"/>
      </w:pPr>
      <w:r>
        <w:rPr>
          <w:color w:val="0C2E3F"/>
          <w:sz w:val="23"/>
        </w:rPr>
        <w:t>Disability super benefit — staged lump-sum withdrawals (TPD/disability payout, tax-free uplift)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disability super benefit</w:t>
              <w:br/>
              <w:t>• tpd payout</w:t>
              <w:br/>
              <w:t>• disability payout</w:t>
              <w:br/>
              <w:t>• disabled</w:t>
              <w:br/>
              <w:t>• disability support pension</w:t>
              <w:br/>
              <w:t>• permanent incapacity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has met a disability/permanent-incapacity condition of release; super boosted by a TPD/disability insurance payout</w:t>
            </w:r>
          </w:p>
        </w:tc>
      </w:tr>
      <w:tr>
        <w:tc>
          <w:tcPr>
            <w:tcW w:type="dxa" w:w="5256"/>
            <w:shd w:val="clear" w:fill="E5F4F6"/>
          </w:tcPr>
          <w:p>
            <w:r>
              <w:rPr>
                <w:b/>
                <w:color w:val="0C2E3F"/>
                <w:sz w:val="17"/>
              </w:rPr>
              <w:t>Figures it pulls ($ / %)</w:t>
            </w:r>
          </w:p>
        </w:tc>
        <w:tc>
          <w:tcPr>
            <w:tcW w:type="dxa" w:w="5256"/>
          </w:tcPr>
          <w:p>
            <w:r>
              <w:rPr>
                <w:sz w:val="19"/>
              </w:rPr>
              <w:t>Staged one-off withdrawal amounts; tax-free vs taxable %; 22% tax withheld</w:t>
            </w:r>
          </w:p>
        </w:tc>
      </w:tr>
      <w:tr>
        <w:tc>
          <w:tcPr>
            <w:tcW w:type="dxa" w:w="5256"/>
            <w:shd w:val="clear" w:fill="E5F4F6"/>
          </w:tcPr>
          <w:p>
            <w:r>
              <w:rPr>
                <w:b/>
                <w:color w:val="0C2E3F"/>
                <w:sz w:val="17"/>
              </w:rPr>
              <w:t>Summary – Strategies line</w:t>
            </w:r>
          </w:p>
        </w:tc>
        <w:tc>
          <w:tcPr>
            <w:tcW w:type="dxa" w:w="5256"/>
          </w:tcPr>
          <w:p>
            <w:r>
              <w:rPr>
                <w:sz w:val="19"/>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tc>
      </w:tr>
      <w:tr>
        <w:tc>
          <w:tcPr>
            <w:tcW w:type="dxa" w:w="5256"/>
            <w:shd w:val="clear" w:fill="E5F4F6"/>
          </w:tcPr>
          <w:p>
            <w:r>
              <w:rPr>
                <w:b/>
                <w:color w:val="0C2E3F"/>
                <w:sz w:val="17"/>
              </w:rPr>
              <w:t>Summary – Outcomes line</w:t>
            </w:r>
          </w:p>
        </w:tc>
        <w:tc>
          <w:tcPr>
            <w:tcW w:type="dxa" w:w="5256"/>
          </w:tcPr>
          <w:p>
            <w:r>
              <w:rPr>
                <w:sz w:val="19"/>
              </w:rPr>
              <w:t>At the time of writing, it is estimated that your balance after uplift will comprise approximately 48% tax-free and 52% taxable components.</w:t>
            </w:r>
          </w:p>
        </w:tc>
      </w:tr>
      <w:tr>
        <w:tc>
          <w:tcPr>
            <w:tcW w:type="dxa" w:w="5256"/>
            <w:shd w:val="clear" w:fill="E5F4F6"/>
          </w:tcPr>
          <w:p>
            <w:r>
              <w:rPr>
                <w:b/>
                <w:color w:val="0C2E3F"/>
                <w:sz w:val="17"/>
              </w:rPr>
              <w:t>Why / In line with your goals (bullets)</w:t>
            </w:r>
          </w:p>
        </w:tc>
        <w:tc>
          <w:tcPr>
            <w:tcW w:type="dxa" w:w="5256"/>
          </w:tcPr>
          <w:p>
            <w:r>
              <w:rPr>
                <w:sz w:val="19"/>
              </w:rPr>
              <w:t>• Because you have met a permanent-incapacity condition of release, you can access your superannuation as a disability super benefit, which receives a tax-free component uplift (the tax-free proportion is increased to reflect your prospective service period to retirement).</w:t>
              <w:br/>
              <w:t>• Staged lump-sum withdrawals fund known upcoming expenses while keeping the balance invested in line with your risk profile.</w:t>
            </w:r>
          </w:p>
        </w:tc>
      </w:tr>
      <w:tr>
        <w:tc>
          <w:tcPr>
            <w:tcW w:type="dxa" w:w="5256"/>
            <w:shd w:val="clear" w:fill="E5F4F6"/>
          </w:tcPr>
          <w:p>
            <w:r>
              <w:rPr>
                <w:b/>
                <w:color w:val="0C2E3F"/>
                <w:sz w:val="17"/>
              </w:rPr>
              <w:t>Risks &amp; Disadvantages (bullets)</w:t>
            </w:r>
          </w:p>
        </w:tc>
        <w:tc>
          <w:tcPr>
            <w:tcW w:type="dxa" w:w="5256"/>
          </w:tcPr>
          <w:p>
            <w:r>
              <w:rPr>
                <w:sz w:val="19"/>
              </w:rPr>
              <w:t>• The 22% tax will be withheld at the time of each withdrawal. You are likely to receive a refund for the excess tax withheld when you lodge your tax return — consult an accountant before implementing.</w:t>
              <w:br/>
              <w:t>• 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br/>
              <w:t>• The projection does not account for additional ad hoc withdrawals or material increases in pension drawdowns; we review annually.</w:t>
            </w:r>
          </w:p>
        </w:tc>
      </w:tr>
      <w:tr>
        <w:tc>
          <w:tcPr>
            <w:tcW w:type="dxa" w:w="5256"/>
            <w:shd w:val="clear" w:fill="E5F4F6"/>
          </w:tcPr>
          <w:p>
            <w:r>
              <w:rPr>
                <w:b/>
                <w:color w:val="0C2E3F"/>
                <w:sz w:val="17"/>
              </w:rPr>
              <w:t>Alternatives (bullets)</w:t>
            </w:r>
          </w:p>
        </w:tc>
        <w:tc>
          <w:tcPr>
            <w:tcW w:type="dxa" w:w="5256"/>
          </w:tcPr>
          <w:p>
            <w:r>
              <w:rPr>
                <w:sz w:val="19"/>
              </w:rPr>
              <w:t>• Draw all income via pension only — discounted as it does not provide the lump sums needed for your planned one-off expenses.</w:t>
            </w:r>
          </w:p>
        </w:tc>
      </w:tr>
    </w:tbl>
    <w:p/>
    <w:p>
      <w:pPr>
        <w:pStyle w:val="Heading2"/>
      </w:pPr>
      <w:r>
        <w:rPr>
          <w:color w:val="0C2E3F"/>
          <w:sz w:val="23"/>
        </w:rPr>
        <w:t>Reversionary beneficiary nomination (pension phase)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reversionary beneficiary</w:t>
              <w:br/>
              <w:t>• reversionary pension</w:t>
              <w:br/>
              <w:t>• reversionary nomination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Account-based pension recommended; spouse/dependant beneficiary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nominate a reversionary beneficiary within your recommended pension funds. A reversionary nomination allows the nominated dependant to automatically receive the pension payments in the event of your passing.</w:t>
            </w:r>
          </w:p>
        </w:tc>
      </w:tr>
      <w:tr>
        <w:tc>
          <w:tcPr>
            <w:tcW w:type="dxa" w:w="5256"/>
            <w:shd w:val="clear" w:fill="E5F4F6"/>
          </w:tcPr>
          <w:p>
            <w:r>
              <w:rPr>
                <w:b/>
                <w:color w:val="0C2E3F"/>
                <w:sz w:val="17"/>
              </w:rPr>
              <w:t>Summary – Outcomes line</w:t>
            </w:r>
          </w:p>
        </w:tc>
        <w:tc>
          <w:tcPr>
            <w:tcW w:type="dxa" w:w="5256"/>
          </w:tcPr>
          <w:p>
            <w:r>
              <w:rPr>
                <w:sz w:val="19"/>
              </w:rPr>
              <w:t>Seamless continuation of pension income to your surviving spouse, avoiding a lump-sum death benefit and probate delay.</w:t>
            </w:r>
          </w:p>
        </w:tc>
      </w:tr>
      <w:tr>
        <w:tc>
          <w:tcPr>
            <w:tcW w:type="dxa" w:w="5256"/>
            <w:shd w:val="clear" w:fill="E5F4F6"/>
          </w:tcPr>
          <w:p>
            <w:r>
              <w:rPr>
                <w:b/>
                <w:color w:val="0C2E3F"/>
                <w:sz w:val="17"/>
              </w:rPr>
              <w:t>Why / In line with your goals (bullets)</w:t>
            </w:r>
          </w:p>
        </w:tc>
        <w:tc>
          <w:tcPr>
            <w:tcW w:type="dxa" w:w="5256"/>
          </w:tcPr>
          <w:p>
            <w:r>
              <w:rPr>
                <w:sz w:val="19"/>
              </w:rPr>
              <w:t>• The pension automatically continues to your nominated dependant on death, preserving the tax-effective income stream.</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A reversionary nomination is generally only available to a spouse/de facto; it reduces flexibility if the beneficiary's circumstances change (a new nomination is required).</w:t>
              <w:br/>
              <w:t>• If the reversionary beneficiary pre-deceases you, the benefit reverts to your estate unless a backup nomination is in place.</w:t>
            </w:r>
          </w:p>
        </w:tc>
      </w:tr>
      <w:tr>
        <w:tc>
          <w:tcPr>
            <w:tcW w:type="dxa" w:w="5256"/>
            <w:shd w:val="clear" w:fill="E5F4F6"/>
          </w:tcPr>
          <w:p>
            <w:r>
              <w:rPr>
                <w:b/>
                <w:color w:val="0C2E3F"/>
                <w:sz w:val="17"/>
              </w:rPr>
              <w:t>Alternatives (bullets)</w:t>
            </w:r>
          </w:p>
        </w:tc>
        <w:tc>
          <w:tcPr>
            <w:tcW w:type="dxa" w:w="5256"/>
          </w:tcPr>
          <w:p>
            <w:r>
              <w:rPr>
                <w:sz w:val="19"/>
              </w:rPr>
              <w:t>• Non-lapsing binding death benefit nomination only — provides a lump sum rather than a continuing income stream; less seamless for a surviving spouse in pension phase.</w:t>
            </w:r>
          </w:p>
        </w:tc>
      </w:tr>
    </w:tbl>
    <w:p/>
    <w:p>
      <w:pPr>
        <w:pStyle w:val="Heading2"/>
      </w:pPr>
      <w:r>
        <w:rPr>
          <w:color w:val="0C2E3F"/>
          <w:sz w:val="23"/>
        </w:rPr>
        <w:t>Seamless accumulation-to-pension transfer (no asset sale; avoid CGT / poor-timing sale)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transition to pension</w:t>
              <w:br/>
              <w:t>• commence pension</w:t>
              <w:br/>
              <w:t>• accumulation to pension</w:t>
              <w:br/>
              <w:t>• in-specie pension transfer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Commencing an account-based pension from an existing accumulation account on the same platform</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seamless transfer from accumulation to pension — you are not required to sell down your assets to transfer into the pension phase.</w:t>
            </w:r>
          </w:p>
        </w:tc>
      </w:tr>
      <w:tr>
        <w:tc>
          <w:tcPr>
            <w:tcW w:type="dxa" w:w="5256"/>
            <w:shd w:val="clear" w:fill="E5F4F6"/>
          </w:tcPr>
          <w:p>
            <w:r>
              <w:rPr>
                <w:b/>
                <w:color w:val="0C2E3F"/>
                <w:sz w:val="17"/>
              </w:rPr>
              <w:t>Summary – Outcomes line</w:t>
            </w:r>
          </w:p>
        </w:tc>
        <w:tc>
          <w:tcPr>
            <w:tcW w:type="dxa" w:w="5256"/>
          </w:tcPr>
          <w:p>
            <w:r>
              <w:rPr>
                <w:sz w:val="19"/>
              </w:rPr>
              <w:t>Your assets move into the tax-free pension environment without being sold, preserving your position.</w:t>
            </w:r>
          </w:p>
        </w:tc>
      </w:tr>
      <w:tr>
        <w:tc>
          <w:tcPr>
            <w:tcW w:type="dxa" w:w="5256"/>
            <w:shd w:val="clear" w:fill="E5F4F6"/>
          </w:tcPr>
          <w:p>
            <w:r>
              <w:rPr>
                <w:b/>
                <w:color w:val="0C2E3F"/>
                <w:sz w:val="17"/>
              </w:rPr>
              <w:t>Why / In line with your goals (bullets)</w:t>
            </w:r>
          </w:p>
        </w:tc>
        <w:tc>
          <w:tcPr>
            <w:tcW w:type="dxa" w:w="5256"/>
          </w:tcPr>
          <w:p>
            <w:r>
              <w:rPr>
                <w:sz w:val="19"/>
              </w:rPr>
              <w:t>• This can prevent unnecessary Capital Gains Tax consequences and/or sale of assets at a time of unfavourable market conditions.</w:t>
              <w:br/>
              <w:t>• It maintains your existing investment holdings and their long-term timing.</w:t>
            </w:r>
          </w:p>
        </w:tc>
      </w:tr>
      <w:tr>
        <w:tc>
          <w:tcPr>
            <w:tcW w:type="dxa" w:w="5256"/>
            <w:shd w:val="clear" w:fill="E5F4F6"/>
          </w:tcPr>
          <w:p>
            <w:r>
              <w:rPr>
                <w:b/>
                <w:color w:val="0C2E3F"/>
                <w:sz w:val="17"/>
              </w:rPr>
              <w:t>Risks &amp; Disadvantages (bullets)</w:t>
            </w:r>
          </w:p>
        </w:tc>
        <w:tc>
          <w:tcPr>
            <w:tcW w:type="dxa" w:w="5256"/>
          </w:tcPr>
          <w:p>
            <w:r>
              <w:rPr>
                <w:sz w:val="19"/>
              </w:rPr>
              <w:t>• Some platforms charge for in-specie transfers; holdings remain subject to market movements in the pension phase.</w:t>
            </w:r>
          </w:p>
        </w:tc>
      </w:tr>
      <w:tr>
        <w:tc>
          <w:tcPr>
            <w:tcW w:type="dxa" w:w="5256"/>
            <w:shd w:val="clear" w:fill="E5F4F6"/>
          </w:tcPr>
          <w:p>
            <w:r>
              <w:rPr>
                <w:b/>
                <w:color w:val="0C2E3F"/>
                <w:sz w:val="17"/>
              </w:rPr>
              <w:t>Alternatives (bullets)</w:t>
            </w:r>
          </w:p>
        </w:tc>
        <w:tc>
          <w:tcPr>
            <w:tcW w:type="dxa" w:w="5256"/>
          </w:tcPr>
          <w:p>
            <w:r>
              <w:rPr>
                <w:sz w:val="19"/>
              </w:rPr>
              <w:t>• Sell down in accumulation and re-buy in pension — discounted as it can crystallise CGT and forces a sale that may occur at an unfavourable time.</w:t>
            </w:r>
          </w:p>
        </w:tc>
      </w:tr>
    </w:tbl>
    <w:p/>
    <w:p>
      <w:pPr>
        <w:pStyle w:val="Heading2"/>
      </w:pPr>
      <w:r>
        <w:rPr>
          <w:color w:val="0C2E3F"/>
          <w:sz w:val="23"/>
        </w:rPr>
        <w:t>In-specie transfer of super on separation (SMSF asset split to personal super)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divorce</w:t>
              <w:br/>
              <w:t>• smsf split</w:t>
              <w:br/>
              <w:t>• relationship breakdown</w:t>
              <w:br/>
              <w:t>• asset split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Separation with an SMSF or jointly-held super to be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recent separation, we recommend completing an in-specie transfer of your allocated SMSF assets (e.g. the platform investment and cash account)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Your share of the fund moves to a personal super account without selling the underlying assets.</w:t>
            </w:r>
          </w:p>
        </w:tc>
      </w:tr>
      <w:tr>
        <w:tc>
          <w:tcPr>
            <w:tcW w:type="dxa" w:w="5256"/>
            <w:shd w:val="clear" w:fill="E5F4F6"/>
          </w:tcPr>
          <w:p>
            <w:r>
              <w:rPr>
                <w:b/>
                <w:color w:val="0C2E3F"/>
                <w:sz w:val="17"/>
              </w:rPr>
              <w:t>Why / In line with your goals (bullets)</w:t>
            </w:r>
          </w:p>
        </w:tc>
        <w:tc>
          <w:tcPr>
            <w:tcW w:type="dxa" w:w="5256"/>
          </w:tcPr>
          <w:p>
            <w:r>
              <w:rPr>
                <w:sz w:val="19"/>
              </w:rPr>
              <w:t>• An in-specie transfer preserves your portfolio and avoids crystallising capital gains, buy/sell spreads and market-timing risk that a sell-down would create.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In-specie transfer may not be available for all asset types; the asset split documentation must be finalised before execution.</w:t>
            </w:r>
          </w:p>
        </w:tc>
      </w:tr>
      <w:tr>
        <w:tc>
          <w:tcPr>
            <w:tcW w:type="dxa" w:w="5256"/>
            <w:shd w:val="clear" w:fill="E5F4F6"/>
          </w:tcPr>
          <w:p>
            <w:r>
              <w:rPr>
                <w:b/>
                <w:color w:val="0C2E3F"/>
                <w:sz w:val="17"/>
              </w:rPr>
              <w:t>Alternatives (bullets)</w:t>
            </w:r>
          </w:p>
        </w:tc>
        <w:tc>
          <w:tcPr>
            <w:tcW w:type="dxa" w:w="5256"/>
          </w:tcPr>
          <w:p>
            <w:r>
              <w:rPr>
                <w:sz w:val="19"/>
              </w:rPr>
              <w:t>• Sell the SMSF assets and roll cash to personal super — discounted as it crystallises CGT and transaction costs.</w:t>
            </w:r>
          </w:p>
        </w:tc>
      </w:tr>
    </w:tbl>
    <w:p/>
    <w:p>
      <w:pPr>
        <w:pStyle w:val="Heading2"/>
      </w:pPr>
      <w:r>
        <w:rPr>
          <w:color w:val="0C2E3F"/>
          <w:sz w:val="23"/>
        </w:rPr>
        <w:t>Commence pension before rebalancing to minimise CGT (defer rebalance to pension phase)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commence pension before rebalance</w:t>
              <w:br/>
              <w:t>• defer rebalance</w:t>
              <w:br/>
              <w:t>• pension phase cgt</w:t>
              <w:br/>
              <w:t>• rebalance in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SMSF/super moving to pension phase with a portfolio rebalance required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tc>
      </w:tr>
      <w:tr>
        <w:tc>
          <w:tcPr>
            <w:tcW w:type="dxa" w:w="5256"/>
            <w:shd w:val="clear" w:fill="E5F4F6"/>
          </w:tcPr>
          <w:p>
            <w:r>
              <w:rPr>
                <w:b/>
                <w:color w:val="0C2E3F"/>
                <w:sz w:val="17"/>
              </w:rPr>
              <w:t>Summary – Outcomes line</w:t>
            </w:r>
          </w:p>
        </w:tc>
        <w:tc>
          <w:tcPr>
            <w:tcW w:type="dxa" w:w="5256"/>
          </w:tcPr>
          <w:p>
            <w:r>
              <w:rPr>
                <w:sz w:val="19"/>
              </w:rPr>
              <w:t>Assets are rebalanced once in the tax-free pension environment, reducing the capital gains tax on the changeover.</w:t>
            </w:r>
          </w:p>
        </w:tc>
      </w:tr>
      <w:tr>
        <w:tc>
          <w:tcPr>
            <w:tcW w:type="dxa" w:w="5256"/>
            <w:shd w:val="clear" w:fill="E5F4F6"/>
          </w:tcPr>
          <w:p>
            <w:r>
              <w:rPr>
                <w:b/>
                <w:color w:val="0C2E3F"/>
                <w:sz w:val="17"/>
              </w:rPr>
              <w:t>Why / In line with your goals (bullets)</w:t>
            </w:r>
          </w:p>
        </w:tc>
        <w:tc>
          <w:tcPr>
            <w:tcW w:type="dxa" w:w="5256"/>
          </w:tcPr>
          <w:p>
            <w:r>
              <w:rPr>
                <w:sz w:val="19"/>
              </w:rPr>
              <w:t>• Selling to rebalance in accumulation phase can trigger CGT at 10–15%; deferring the rebalance until the assets support a retirement-phase income stream reduces or removes that tax.</w:t>
              <w:br/>
              <w:t>• Where the rebalance is done within the Account-Based Pension accounts, we do not anticipate it will crystallise a capital gain, so you should not incur CGT as a result of the rebalance.</w:t>
              <w:br/>
              <w:t>• On platforms that match buy and sell orders internally, the rebalance offsets purchases and sales and keeps your portfolio fully invested, avoiding time-out-of-market risk.</w:t>
              <w:br/>
              <w:t>• 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tc>
      </w:tr>
      <w:tr>
        <w:tc>
          <w:tcPr>
            <w:tcW w:type="dxa" w:w="5256"/>
            <w:shd w:val="clear" w:fill="E5F4F6"/>
          </w:tcPr>
          <w:p>
            <w:r>
              <w:rPr>
                <w:b/>
                <w:color w:val="0C2E3F"/>
                <w:sz w:val="17"/>
              </w:rPr>
              <w:t>Risks &amp; Disadvantages (bullets)</w:t>
            </w:r>
          </w:p>
        </w:tc>
        <w:tc>
          <w:tcPr>
            <w:tcW w:type="dxa" w:w="5256"/>
          </w:tcPr>
          <w:p>
            <w:r>
              <w:rPr>
                <w:sz w:val="19"/>
              </w:rPr>
              <w:t>• Markets may move while the rebalance is deferred; timing should be confirmed with your accountant.</w:t>
            </w:r>
          </w:p>
        </w:tc>
      </w:tr>
      <w:tr>
        <w:tc>
          <w:tcPr>
            <w:tcW w:type="dxa" w:w="5256"/>
            <w:shd w:val="clear" w:fill="E5F4F6"/>
          </w:tcPr>
          <w:p>
            <w:r>
              <w:rPr>
                <w:b/>
                <w:color w:val="0C2E3F"/>
                <w:sz w:val="17"/>
              </w:rPr>
              <w:t>Alternatives (bullets)</w:t>
            </w:r>
          </w:p>
        </w:tc>
        <w:tc>
          <w:tcPr>
            <w:tcW w:type="dxa" w:w="5256"/>
          </w:tcPr>
          <w:p>
            <w:r>
              <w:rPr>
                <w:sz w:val="19"/>
              </w:rPr>
              <w:t>• Rebalance immediately in accumulation phase — discounted as it crystallises avoidable CGT.</w:t>
            </w:r>
          </w:p>
        </w:tc>
      </w:tr>
    </w:tbl>
    <w:p/>
    <w:p>
      <w:pPr>
        <w:pStyle w:val="Heading2"/>
      </w:pPr>
      <w:r>
        <w:rPr>
          <w:color w:val="0C2E3F"/>
          <w:sz w:val="23"/>
        </w:rPr>
        <w:t>Retain an existing SMSF (operate, add account, redirect contributions, reinvest)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retain smsf</w:t>
              <w:br/>
              <w:t>• retain your smsf</w:t>
              <w:br/>
              <w:t>• existing smsf</w:t>
              <w:br/>
              <w:t>• keep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that is to be kept (not wound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tc>
      </w:tr>
      <w:tr>
        <w:tc>
          <w:tcPr>
            <w:tcW w:type="dxa" w:w="5256"/>
            <w:shd w:val="clear" w:fill="E5F4F6"/>
          </w:tcPr>
          <w:p>
            <w:r>
              <w:rPr>
                <w:b/>
                <w:color w:val="0C2E3F"/>
                <w:sz w:val="17"/>
              </w:rPr>
              <w:t>Summary – Outcomes line</w:t>
            </w:r>
          </w:p>
        </w:tc>
        <w:tc>
          <w:tcPr>
            <w:tcW w:type="dxa" w:w="5256"/>
          </w:tcPr>
          <w:p>
            <w:r>
              <w:rPr>
                <w:sz w:val="19"/>
              </w:rPr>
              <w:t>Your SMSF continues as your super vehicle, with a customised investment account, a central cash account for transactions and compliance costs, all contributions consolidated to the fund, and distributions reinvested to compound.</w:t>
            </w:r>
          </w:p>
        </w:tc>
      </w:tr>
      <w:tr>
        <w:tc>
          <w:tcPr>
            <w:tcW w:type="dxa" w:w="5256"/>
            <w:shd w:val="clear" w:fill="E5F4F6"/>
          </w:tcPr>
          <w:p>
            <w:r>
              <w:rPr>
                <w:b/>
                <w:color w:val="0C2E3F"/>
                <w:sz w:val="17"/>
              </w:rPr>
              <w:t>Why / In line with your goals (bullets)</w:t>
            </w:r>
          </w:p>
        </w:tc>
        <w:tc>
          <w:tcPr>
            <w:tcW w:type="dxa" w:w="5256"/>
          </w:tcPr>
          <w:p>
            <w:r>
              <w:rPr>
                <w:sz w:val="19"/>
              </w:rPr>
              <w:t>• Retaining the SMSF cash account consolidates all super transactions into one central account, easing monitoring and providing liquidity for ongoing costs and administrative fees of being an SMSF trustee.</w:t>
              <w:br/>
              <w:t>• Directing all future employer (and personal) contributions to the SMSF consolidates your super into one fund for easier management.</w:t>
              <w:br/>
              <w:t>•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As trustee you remain responsible for the fund's compliance, administration and costs.</w:t>
              <w:br/>
              <w:t>• Reinvesting distributions means no access to that income until a condition of release is met.</w:t>
            </w:r>
          </w:p>
        </w:tc>
      </w:tr>
      <w:tr>
        <w:tc>
          <w:tcPr>
            <w:tcW w:type="dxa" w:w="5256"/>
            <w:shd w:val="clear" w:fill="E5F4F6"/>
          </w:tcPr>
          <w:p>
            <w:r>
              <w:rPr>
                <w:b/>
                <w:color w:val="0C2E3F"/>
                <w:sz w:val="17"/>
              </w:rPr>
              <w:t>Alternatives (bullets)</w:t>
            </w:r>
          </w:p>
        </w:tc>
        <w:tc>
          <w:tcPr>
            <w:tcW w:type="dxa" w:w="5256"/>
          </w:tcPr>
          <w:p>
            <w:r>
              <w:rPr>
                <w:sz w:val="19"/>
              </w:rPr>
              <w:t>• Wind up the SMSF and roll to a retail/platform fund — discounted where the SMSF holds assets (e.g. an investment property) central to your long-term strategy.</w:t>
            </w:r>
          </w:p>
        </w:tc>
      </w:tr>
    </w:tbl>
    <w:p/>
    <w:p>
      <w:pPr>
        <w:pStyle w:val="Heading2"/>
      </w:pPr>
      <w:r>
        <w:rPr>
          <w:color w:val="0C2E3F"/>
          <w:sz w:val="23"/>
        </w:rPr>
        <w:t>SMSF with corporate trustee holding a geared investment property (LRBA cashflow)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smsf property</w:t>
              <w:br/>
              <w:t>• corporate trustee</w:t>
              <w:br/>
              <w:t>• limited recourse</w:t>
              <w:br/>
              <w:t>• lrba</w:t>
              <w:br/>
              <w:t>• smsf investment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holding (or acquiring) real property, typically with secured debt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tc>
      </w:tr>
      <w:tr>
        <w:tc>
          <w:tcPr>
            <w:tcW w:type="dxa" w:w="5256"/>
            <w:shd w:val="clear" w:fill="E5F4F6"/>
          </w:tcPr>
          <w:p>
            <w:r>
              <w:rPr>
                <w:b/>
                <w:color w:val="0C2E3F"/>
                <w:sz w:val="17"/>
              </w:rPr>
              <w:t>Summary – Outcomes line</w:t>
            </w:r>
          </w:p>
        </w:tc>
        <w:tc>
          <w:tcPr>
            <w:tcW w:type="dxa" w:w="5256"/>
          </w:tcPr>
          <w:p>
            <w:r>
              <w:rPr>
                <w:sz w:val="19"/>
              </w:rPr>
              <w:t>Both members' super is pooled in the SMSF behind the property, with a cash buffer for costs and rental surplus recycled into ongoing contributions.</w:t>
            </w:r>
          </w:p>
        </w:tc>
      </w:tr>
      <w:tr>
        <w:tc>
          <w:tcPr>
            <w:tcW w:type="dxa" w:w="5256"/>
            <w:shd w:val="clear" w:fill="E5F4F6"/>
          </w:tcPr>
          <w:p>
            <w:r>
              <w:rPr>
                <w:b/>
                <w:color w:val="0C2E3F"/>
                <w:sz w:val="17"/>
              </w:rPr>
              <w:t>Why / In line with your goals (bullets)</w:t>
            </w:r>
          </w:p>
        </w:tc>
        <w:tc>
          <w:tcPr>
            <w:tcW w:type="dxa" w:w="5256"/>
          </w:tcPr>
          <w:p>
            <w:r>
              <w:rPr>
                <w:sz w:val="19"/>
              </w:rPr>
              <w:t>• A corporate trustee structure (Pty Ltd as trustee for the fund) simplifies succession and limits trustee liability compared with individual trustees.</w:t>
              <w:br/>
              <w:t>• Consolidating both members' balances and the rental surplus into the fund concentrates capital behind the long-term property strategy.</w:t>
            </w:r>
          </w:p>
        </w:tc>
      </w:tr>
      <w:tr>
        <w:tc>
          <w:tcPr>
            <w:tcW w:type="dxa" w:w="5256"/>
            <w:shd w:val="clear" w:fill="E5F4F6"/>
          </w:tcPr>
          <w:p>
            <w:r>
              <w:rPr>
                <w:b/>
                <w:color w:val="0C2E3F"/>
                <w:sz w:val="17"/>
              </w:rPr>
              <w:t>Risks &amp; Disadvantages (bullets)</w:t>
            </w:r>
          </w:p>
        </w:tc>
        <w:tc>
          <w:tcPr>
            <w:tcW w:type="dxa" w:w="5256"/>
          </w:tcPr>
          <w:p>
            <w:r>
              <w:rPr>
                <w:sz w:val="19"/>
              </w:rPr>
              <w:t>• SMSF borrowing and property holding add audit, compliance and liquidity complexity; the fund must hold enough cash to meet loan repayments and costs.</w:t>
              <w:br/>
              <w:t>• Property is illiquid and concentrated; a fall in value or rental income affects the fund's ability to meet obligations.</w:t>
            </w:r>
          </w:p>
        </w:tc>
      </w:tr>
      <w:tr>
        <w:tc>
          <w:tcPr>
            <w:tcW w:type="dxa" w:w="5256"/>
            <w:shd w:val="clear" w:fill="E5F4F6"/>
          </w:tcPr>
          <w:p>
            <w:r>
              <w:rPr>
                <w:b/>
                <w:color w:val="0C2E3F"/>
                <w:sz w:val="17"/>
              </w:rPr>
              <w:t>Alternatives (bullets)</w:t>
            </w:r>
          </w:p>
        </w:tc>
        <w:tc>
          <w:tcPr>
            <w:tcW w:type="dxa" w:w="5256"/>
          </w:tcPr>
          <w:p>
            <w:r>
              <w:rPr>
                <w:sz w:val="19"/>
              </w:rPr>
              <w:t>• Wind up the SMSF — discounted as the fund was established to hold the investment property as part of your long-term superannuation strategy.</w:t>
            </w:r>
          </w:p>
        </w:tc>
      </w:tr>
    </w:tbl>
    <w:p/>
    <w:p>
      <w:pPr>
        <w:pStyle w:val="Heading2"/>
      </w:pPr>
      <w:r>
        <w:rPr>
          <w:color w:val="0C2E3F"/>
          <w:sz w:val="23"/>
        </w:rPr>
        <w:t>SMSF wind-up / consolidation to a retail fund (non-separation, cost/suitability driven)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close your smsf</w:t>
              <w:br/>
              <w:t>• wind up smsf</w:t>
              <w:br/>
              <w:t>• wind-up smsf</w:t>
              <w:br/>
              <w:t>• smsf not the right vehicle</w:t>
              <w:br/>
              <w:t>• consolidate smsf to retail</w:t>
              <w:br/>
              <w:t>• review suitability of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whose original purpose no longer applies / costs outweigh benefit</w:t>
            </w:r>
          </w:p>
        </w:tc>
      </w:tr>
      <w:tr>
        <w:tc>
          <w:tcPr>
            <w:tcW w:type="dxa" w:w="5256"/>
            <w:shd w:val="clear" w:fill="E5F4F6"/>
          </w:tcPr>
          <w:p>
            <w:r>
              <w:rPr>
                <w:b/>
                <w:color w:val="0C2E3F"/>
                <w:sz w:val="17"/>
              </w:rPr>
              <w:t>Figures it pulls ($ / %)</w:t>
            </w:r>
          </w:p>
        </w:tc>
        <w:tc>
          <w:tcPr>
            <w:tcW w:type="dxa" w:w="5256"/>
          </w:tcPr>
          <w:p>
            <w:r>
              <w:rPr>
                <w:sz w:val="19"/>
              </w:rPr>
              <w:t>Estimated reduction in ongoing admin fees p.a.</w:t>
            </w:r>
          </w:p>
        </w:tc>
      </w:tr>
      <w:tr>
        <w:tc>
          <w:tcPr>
            <w:tcW w:type="dxa" w:w="5256"/>
            <w:shd w:val="clear" w:fill="E5F4F6"/>
          </w:tcPr>
          <w:p>
            <w:r>
              <w:rPr>
                <w:b/>
                <w:color w:val="0C2E3F"/>
                <w:sz w:val="17"/>
              </w:rPr>
              <w:t>Summary – Strategies line</w:t>
            </w:r>
          </w:p>
        </w:tc>
        <w:tc>
          <w:tcPr>
            <w:tcW w:type="dxa" w:w="5256"/>
          </w:tcPr>
          <w:p>
            <w:r>
              <w:rPr>
                <w:sz w:val="19"/>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tc>
      </w:tr>
      <w:tr>
        <w:tc>
          <w:tcPr>
            <w:tcW w:type="dxa" w:w="5256"/>
            <w:shd w:val="clear" w:fill="E5F4F6"/>
          </w:tcPr>
          <w:p>
            <w:r>
              <w:rPr>
                <w:b/>
                <w:color w:val="0C2E3F"/>
                <w:sz w:val="17"/>
              </w:rPr>
              <w:t>Summary – Outcomes line</w:t>
            </w:r>
          </w:p>
        </w:tc>
        <w:tc>
          <w:tcPr>
            <w:tcW w:type="dxa" w:w="5256"/>
          </w:tcPr>
          <w:p>
            <w:r>
              <w:rPr>
                <w:sz w:val="19"/>
              </w:rPr>
              <w:t>Your super is simplified into a retail/platform fund, removing the cost and trustee responsibilities of the SMSF while keeping access to the recommended investment portfolio.</w:t>
            </w:r>
          </w:p>
        </w:tc>
      </w:tr>
      <w:tr>
        <w:tc>
          <w:tcPr>
            <w:tcW w:type="dxa" w:w="5256"/>
            <w:shd w:val="clear" w:fill="E5F4F6"/>
          </w:tcPr>
          <w:p>
            <w:r>
              <w:rPr>
                <w:b/>
                <w:color w:val="0C2E3F"/>
                <w:sz w:val="17"/>
              </w:rPr>
              <w:t>Why / In line with your goals (bullets)</w:t>
            </w:r>
          </w:p>
        </w:tc>
        <w:tc>
          <w:tcPr>
            <w:tcW w:type="dxa" w:w="5256"/>
          </w:tcPr>
          <w:p>
            <w:r>
              <w:rPr>
                <w:sz w:val="19"/>
              </w:rPr>
              <w:t>• We believe an SMSF is not the right vehicle for your super, considering your current SMSF position.</w:t>
              <w:br/>
              <w:t>• By simplifying your superannuation you will not be burdened by the responsibilities of operating an SMSF.</w:t>
              <w:br/>
              <w:t>• Since you are not actively considering purchasing property through your superannuation as initially planned, closing the SMSF aligns better with your current goals and objectives.</w:t>
              <w:br/>
              <w:t>• Transferring from an SMSF to a retail superannuation fund reduces your ongoing administrative fees and eliminates your legal and administrative responsibilities as an SMSF trustee.</w:t>
              <w:br/>
              <w:t>• We have discussed the short and long-term implications, including the costs that would occur if you ever wished to re-establish the SMSF in the future after winding it up now.</w:t>
            </w:r>
          </w:p>
        </w:tc>
      </w:tr>
      <w:tr>
        <w:tc>
          <w:tcPr>
            <w:tcW w:type="dxa" w:w="5256"/>
            <w:shd w:val="clear" w:fill="E5F4F6"/>
          </w:tcPr>
          <w:p>
            <w:r>
              <w:rPr>
                <w:b/>
                <w:color w:val="0C2E3F"/>
                <w:sz w:val="17"/>
              </w:rPr>
              <w:t>Risks &amp; Disadvantages (bullets)</w:t>
            </w:r>
          </w:p>
        </w:tc>
        <w:tc>
          <w:tcPr>
            <w:tcW w:type="dxa" w:w="5256"/>
          </w:tcPr>
          <w:p>
            <w:r>
              <w:rPr>
                <w:sz w:val="19"/>
              </w:rPr>
              <w:t>• The SMSF wind-up will require the sale of the existing share portfolio within the fund, which may have capital gains implications and transaction costs.</w:t>
              <w:br/>
              <w:t>• Wind-up costs include completion of the current and previous SMSF financial statements, tax returns and any audit/compliance costs.</w:t>
            </w:r>
          </w:p>
        </w:tc>
      </w:tr>
      <w:tr>
        <w:tc>
          <w:tcPr>
            <w:tcW w:type="dxa" w:w="5256"/>
            <w:shd w:val="clear" w:fill="E5F4F6"/>
          </w:tcPr>
          <w:p>
            <w:r>
              <w:rPr>
                <w:b/>
                <w:color w:val="0C2E3F"/>
                <w:sz w:val="17"/>
              </w:rPr>
              <w:t>Alternatives (bullets)</w:t>
            </w:r>
          </w:p>
        </w:tc>
        <w:tc>
          <w:tcPr>
            <w:tcW w:type="dxa" w:w="5256"/>
          </w:tcPr>
          <w:p>
            <w:r>
              <w:rPr>
                <w:sz w:val="19"/>
              </w:rPr>
              <w:t>• Retain your existing SMSF — discounted as an SMSF has high costs and ongoing legal/administrative trustee requirements that are not needed to meet your retirement goals where the original purpose is no longer being pursued.</w:t>
            </w:r>
          </w:p>
        </w:tc>
      </w:tr>
    </w:tbl>
    <w:p/>
    <w:p>
      <w:pPr>
        <w:pStyle w:val="Heading2"/>
      </w:pPr>
      <w:r>
        <w:rPr>
          <w:color w:val="0C2E3F"/>
          <w:sz w:val="23"/>
        </w:rPr>
        <w:t>Establish new fund + partial rollover, retain minimum for higher SG contributions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retain minimum for sg</w:t>
              <w:br/>
              <w:t>• partial rollover for sg</w:t>
              <w:br/>
              <w:t>• retain minimum for higher sg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the minimum balance in your existing fund to keep receiving your higher employer SG contributions, and roll the remainder to the new recommended fund.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Some employers pay a higher SG into the existing fund; retaining a minimum balance preserves that benefit while still consolidating the bulk of your super.</w:t>
            </w:r>
          </w:p>
        </w:tc>
      </w:tr>
      <w:tr>
        <w:tc>
          <w:tcPr>
            <w:tcW w:type="dxa" w:w="5256"/>
            <w:shd w:val="clear" w:fill="E5F4F6"/>
          </w:tcPr>
          <w:p>
            <w:r>
              <w:rPr>
                <w:b/>
                <w:color w:val="0C2E3F"/>
                <w:sz w:val="17"/>
              </w:rPr>
              <w:t>Risks &amp; Disadvantages (bullets)</w:t>
            </w:r>
          </w:p>
        </w:tc>
        <w:tc>
          <w:tcPr>
            <w:tcW w:type="dxa" w:w="5256"/>
          </w:tcPr>
          <w:p>
            <w:r>
              <w:rPr>
                <w:sz w:val="19"/>
              </w:rPr>
              <w:t>• Two accounts mean two sets of fees until the arrangement ends.</w:t>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Commence an Account-Based Pension and draw an income (minimum % or set amount)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abp</w:t>
              <w:br/>
              <w:t>• draw pension income</w:t>
              <w:br/>
              <w:t>• minimum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minimum % or $___ pa</w:t>
            </w:r>
          </w:p>
        </w:tc>
      </w:tr>
      <w:tr>
        <w:tc>
          <w:tcPr>
            <w:tcW w:type="dxa" w:w="5256"/>
            <w:shd w:val="clear" w:fill="E5F4F6"/>
          </w:tcPr>
          <w:p>
            <w:r>
              <w:rPr>
                <w:b/>
                <w:color w:val="0C2E3F"/>
                <w:sz w:val="17"/>
              </w:rPr>
              <w:t>Summary – Strategies line</w:t>
            </w:r>
          </w:p>
        </w:tc>
        <w:tc>
          <w:tcPr>
            <w:tcW w:type="dxa" w:w="5256"/>
          </w:tcPr>
          <w:p>
            <w:r>
              <w:rPr>
                <w:sz w:val="19"/>
              </w:rPr>
              <w:t>We recommend you commence an Account-Based Pension and draw [the minimum % / $___ p.a.] to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Pension-phase earnings are tax-free and the income stream funds your retirement spending.</w:t>
            </w:r>
          </w:p>
        </w:tc>
      </w:tr>
      <w:tr>
        <w:tc>
          <w:tcPr>
            <w:tcW w:type="dxa" w:w="5256"/>
            <w:shd w:val="clear" w:fill="E5F4F6"/>
          </w:tcPr>
          <w:p>
            <w:r>
              <w:rPr>
                <w:b/>
                <w:color w:val="0C2E3F"/>
                <w:sz w:val="17"/>
              </w:rPr>
              <w:t>Risks &amp; Disadvantages (bullets)</w:t>
            </w:r>
          </w:p>
        </w:tc>
        <w:tc>
          <w:tcPr>
            <w:tcW w:type="dxa" w:w="5256"/>
          </w:tcPr>
          <w:p>
            <w:r>
              <w:rPr>
                <w:sz w:val="19"/>
              </w:rPr>
              <w:t>• Minimum drawdowns are mandatory and apply even in a market downturn.</w:t>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CGT implications on a super changeover (SMSF, or rebalance Vanguard↔CARE) (free text)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super cgt</w:t>
              <w:br/>
              <w:t>• smsf cgt</w:t>
              <w:br/>
              <w:t>• rebalance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super changeover — applies for SMSF or a rebalance between Vanguard and CARE; not required for a standard rollover.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Phase a lump-sum super investment via money-on-the-move (DCA the rollover)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 super</w:t>
              <w:br/>
              <w:t>• dca rollover</w:t>
              <w:br/>
              <w:t>• phase lump sum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For the lump sum entering super, we recommend phasing it into the market via the money-on-the-move framework — bringing forward instalments as markets fall.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Phasing a large rollover smooths your entry price and reduces timing risk.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1"/>
      </w:pPr>
      <w:r>
        <w:rPr>
          <w:color w:val="1F6FEB"/>
          <w:sz w:val="30"/>
        </w:rPr>
        <w:t>6 · Superannuation Contributions</w:t>
      </w:r>
    </w:p>
    <w:p>
      <w:r>
        <w:rPr>
          <w:i/>
          <w:color w:val="5B6B76"/>
          <w:sz w:val="18"/>
        </w:rPr>
        <w:t>Salary sacrifice / carry‑forward wording is verbatim. The remaining contribution types are drafts for your review.</w:t>
      </w:r>
    </w:p>
    <w:p>
      <w:pPr>
        <w:pStyle w:val="Heading2"/>
      </w:pPr>
      <w:r>
        <w:rPr>
          <w:color w:val="0C2E3F"/>
          <w:sz w:val="23"/>
        </w:rPr>
        <w:t>Salary sacrifice / concessional contributions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We recommend you [continue / increase / decrease / cease] your salary sacrifice (concessional) contributions of $___.</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br/>
              <w:t>• Concessional contributions are taxed at 15% within super (up to your cap), not your marginal tax rate.</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p>
      <w:pPr>
        <w:pStyle w:val="Heading2"/>
      </w:pPr>
      <w:r>
        <w:rPr>
          <w:color w:val="0C2E3F"/>
          <w:sz w:val="23"/>
        </w:rPr>
        <w:t>Carry-forward (catch-up) concessional contributions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p>
      <w:pPr>
        <w:pStyle w:val="Heading2"/>
      </w:pPr>
      <w:r>
        <w:rPr>
          <w:color w:val="0C2E3F"/>
          <w:sz w:val="23"/>
        </w:rPr>
        <w:t>Non-concessional contribution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sz w:val="19"/>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tc>
      </w:tr>
      <w:tr>
        <w:tc>
          <w:tcPr>
            <w:tcW w:type="dxa" w:w="5256"/>
            <w:shd w:val="clear" w:fill="E5F4F6"/>
          </w:tcPr>
          <w:p>
            <w:r>
              <w:rPr>
                <w:b/>
                <w:color w:val="0C2E3F"/>
                <w:sz w:val="17"/>
              </w:rPr>
              <w:t>Summary – Outcomes line</w:t>
            </w:r>
          </w:p>
        </w:tc>
        <w:tc>
          <w:tcPr>
            <w:tcW w:type="dxa" w:w="5256"/>
          </w:tcPr>
          <w:p>
            <w:r>
              <w:rPr>
                <w:sz w:val="19"/>
              </w:rPr>
              <w:t>Increasing the tax-free proportion of your superannuation reduces potential tax payable on death benefits, particularly for non-tax-dependant beneficiaries such as your adult children.</w:t>
            </w:r>
          </w:p>
        </w:tc>
      </w:tr>
      <w:tr>
        <w:tc>
          <w:tcPr>
            <w:tcW w:type="dxa" w:w="5256"/>
            <w:shd w:val="clear" w:fill="E5F4F6"/>
          </w:tcPr>
          <w:p>
            <w:r>
              <w:rPr>
                <w:b/>
                <w:color w:val="0C2E3F"/>
                <w:sz w:val="17"/>
              </w:rPr>
              <w:t>Why / In line with your goals (bullets)</w:t>
            </w:r>
          </w:p>
        </w:tc>
        <w:tc>
          <w:tcPr>
            <w:tcW w:type="dxa" w:w="5256"/>
          </w:tcPr>
          <w:p>
            <w:r>
              <w:rPr>
                <w:sz w:val="19"/>
              </w:rPr>
              <w:t>• Your existing pension comprises a taxable and a tax-free component. Withdrawing funds and re-contributing them as non-concessional contributions increases the tax-free proportion of your superannuation over time and improves overall tax efficiency.</w:t>
              <w:br/>
              <w:t>• It is expected to reduce potential tax payable on death benefits, particularly for non-tax-dependant beneficiaries such as adult children.</w:t>
              <w:br/>
              <w:t>• The strategy allows for optimal use of your available non-concessional contribution caps, including the bring-forward rule, to enhance long-term outcomes.</w:t>
            </w:r>
          </w:p>
        </w:tc>
      </w:tr>
      <w:tr>
        <w:tc>
          <w:tcPr>
            <w:tcW w:type="dxa" w:w="5256"/>
            <w:shd w:val="clear" w:fill="E5F4F6"/>
          </w:tcPr>
          <w:p>
            <w:r>
              <w:rPr>
                <w:b/>
                <w:color w:val="0C2E3F"/>
                <w:sz w:val="17"/>
              </w:rPr>
              <w:t>Risks &amp; Disadvantages (bullets)</w:t>
            </w:r>
          </w:p>
        </w:tc>
        <w:tc>
          <w:tcPr>
            <w:tcW w:type="dxa" w:w="5256"/>
          </w:tcPr>
          <w:p>
            <w:r>
              <w:rPr>
                <w:sz w:val="19"/>
              </w:rPr>
              <w:t>• There is a risk that you don't follow or stick with the strategy, particularly at market extremes.</w:t>
              <w:br/>
              <w:t>• If you don't communicate changes in your circumstances, goals and objectives to us, your portfolio may no longer be appropriate.</w:t>
              <w:br/>
              <w:t>• The underlying investments within super are invested in investment funds. This involves some investment risk and does not guarantee your returns — values may fall from time to time.</w:t>
            </w:r>
          </w:p>
        </w:tc>
      </w:tr>
      <w:tr>
        <w:tc>
          <w:tcPr>
            <w:tcW w:type="dxa" w:w="5256"/>
            <w:shd w:val="clear" w:fill="E5F4F6"/>
          </w:tcPr>
          <w:p>
            <w:r>
              <w:rPr>
                <w:b/>
                <w:color w:val="0C2E3F"/>
                <w:sz w:val="17"/>
              </w:rPr>
              <w:t>Alternatives (bullets)</w:t>
            </w:r>
          </w:p>
        </w:tc>
        <w:tc>
          <w:tcPr>
            <w:tcW w:type="dxa" w:w="5256"/>
          </w:tcPr>
          <w:p>
            <w:r>
              <w:rPr>
                <w:sz w:val="19"/>
              </w:rPr>
              <w:t>• 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tc>
      </w:tr>
    </w:tbl>
    <w:p/>
    <w:p>
      <w:pPr>
        <w:pStyle w:val="Heading2"/>
      </w:pPr>
      <w:r>
        <w:rPr>
          <w:color w:val="0C2E3F"/>
          <w:sz w:val="23"/>
        </w:rPr>
        <w:t>Bring-forward non-concessional contribution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br/>
              <w:t>• property sale proceeds</w:t>
              <w:br/>
              <w:t>• using proceeds</w:t>
              <w:br/>
              <w:t>• sale proceeds to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br/>
              <w:t>• The bring-forward non-concessional contribution can be funded from the proceeds of a property sale (e.g. $360,000 using a portion of the proceeds), moving sale proceeds into the tax-free/low-tax super environment across the three-year window.</w:t>
              <w:br/>
              <w:t>• The bring-forward rule lets you use future years' non-concessional caps to make a larger one-off contribution now, maximising the funds in the tax-free super environment to draw retirement income from.</w:t>
              <w:br/>
              <w:t>• 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br/>
              <w:t>• Sale proceeds must be held in cash until the contribution is made, which may mean time out of the market.</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p>
      <w:pPr>
        <w:pStyle w:val="Heading2"/>
      </w:pPr>
      <w:r>
        <w:rPr>
          <w:color w:val="0C2E3F"/>
          <w:sz w:val="23"/>
        </w:rPr>
        <w:t>Spouse contribution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p>
      <w:pPr>
        <w:pStyle w:val="Heading2"/>
      </w:pPr>
      <w:r>
        <w:rPr>
          <w:color w:val="0C2E3F"/>
          <w:sz w:val="23"/>
        </w:rPr>
        <w:t>Government co-contribution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p>
      <w:pPr>
        <w:pStyle w:val="Heading2"/>
      </w:pPr>
      <w:r>
        <w:rPr>
          <w:color w:val="0C2E3F"/>
          <w:sz w:val="23"/>
        </w:rPr>
        <w:t>Contribution splitting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p>
      <w:pPr>
        <w:pStyle w:val="Heading2"/>
      </w:pPr>
      <w:r>
        <w:rPr>
          <w:color w:val="0C2E3F"/>
          <w:sz w:val="23"/>
        </w:rPr>
        <w:t>Personal deductible contribution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personal concessional</w:t>
              <w:br/>
              <w:t>• claim a tax deduction for contribution</w:t>
              <w:br/>
              <w:t>• lump sum 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sz w:val="19"/>
              </w:rPr>
              <w:t>We recommend you commence making yearly concessional (personal deductible) contributions, setting aside the funds in your cash account through the year and making the contribution as a lump sum each year, then claiming a tax deduction for it.</w:t>
            </w:r>
          </w:p>
        </w:tc>
      </w:tr>
      <w:tr>
        <w:tc>
          <w:tcPr>
            <w:tcW w:type="dxa" w:w="5256"/>
            <w:shd w:val="clear" w:fill="E5F4F6"/>
          </w:tcPr>
          <w:p>
            <w:r>
              <w:rPr>
                <w:b/>
                <w:color w:val="0C2E3F"/>
                <w:sz w:val="17"/>
              </w:rPr>
              <w:t>Summary – Outcomes line</w:t>
            </w:r>
          </w:p>
        </w:tc>
        <w:tc>
          <w:tcPr>
            <w:tcW w:type="dxa" w:w="5256"/>
          </w:tcPr>
          <w:p>
            <w:r>
              <w:rPr>
                <w:sz w:val="19"/>
              </w:rPr>
              <w:t>You use your concessional cap via a personal deductible contribution, reducing taxable income and building super, without needing a salary-sacrifice arrangement with your employer.</w:t>
            </w:r>
          </w:p>
        </w:tc>
      </w:tr>
      <w:tr>
        <w:tc>
          <w:tcPr>
            <w:tcW w:type="dxa" w:w="5256"/>
            <w:shd w:val="clear" w:fill="E5F4F6"/>
          </w:tcPr>
          <w:p>
            <w:r>
              <w:rPr>
                <w:b/>
                <w:color w:val="0C2E3F"/>
                <w:sz w:val="17"/>
              </w:rPr>
              <w:t>Why / In line with your goals (bullets)</w:t>
            </w:r>
          </w:p>
        </w:tc>
        <w:tc>
          <w:tcPr>
            <w:tcW w:type="dxa" w:w="5256"/>
          </w:tcPr>
          <w:p>
            <w:r>
              <w:rPr>
                <w:sz w:val="19"/>
              </w:rPr>
              <w:t>• Making ongoing concessional contributions helps reduce the effect of adviser fees and insurance premiums on your superannuation balance.</w:t>
              <w:br/>
              <w:t>• Claiming the contribution as a tax deduction provides net tax savings by moving income into the 15% super environment instead of your marginal rate.</w:t>
            </w:r>
          </w:p>
        </w:tc>
      </w:tr>
      <w:tr>
        <w:tc>
          <w:tcPr>
            <w:tcW w:type="dxa" w:w="5256"/>
            <w:shd w:val="clear" w:fill="E5F4F6"/>
          </w:tcPr>
          <w:p>
            <w:r>
              <w:rPr>
                <w:b/>
                <w:color w:val="0C2E3F"/>
                <w:sz w:val="17"/>
              </w:rPr>
              <w:t>Risks &amp; Disadvantages (bullets)</w:t>
            </w:r>
          </w:p>
        </w:tc>
        <w:tc>
          <w:tcPr>
            <w:tcW w:type="dxa" w:w="5256"/>
          </w:tcPr>
          <w:p>
            <w:r>
              <w:rPr>
                <w:sz w:val="19"/>
              </w:rPr>
              <w:t>• You must stay within the concessional cap to avoid excess-contribution tax, and lodge a valid notice of intent to claim the deduction with your fund.</w:t>
            </w:r>
          </w:p>
        </w:tc>
      </w:tr>
      <w:tr>
        <w:tc>
          <w:tcPr>
            <w:tcW w:type="dxa" w:w="5256"/>
            <w:shd w:val="clear" w:fill="E5F4F6"/>
          </w:tcPr>
          <w:p>
            <w:r>
              <w:rPr>
                <w:b/>
                <w:color w:val="0C2E3F"/>
                <w:sz w:val="17"/>
              </w:rPr>
              <w:t>Alternatives (bullets)</w:t>
            </w:r>
          </w:p>
        </w:tc>
        <w:tc>
          <w:tcPr>
            <w:tcW w:type="dxa" w:w="5256"/>
          </w:tcPr>
          <w:p>
            <w:r>
              <w:rPr>
                <w:sz w:val="19"/>
              </w:rPr>
              <w:t>• Salary sacrifice via your employer — equivalent outcome but requires an employer arrangement; non-concessional contribution — discounted as it gives no deduction.</w:t>
            </w:r>
          </w:p>
        </w:tc>
      </w:tr>
    </w:tbl>
    <w:p/>
    <w:p>
      <w:pPr>
        <w:pStyle w:val="Heading2"/>
      </w:pPr>
      <w:r>
        <w:rPr>
          <w:color w:val="0C2E3F"/>
          <w:sz w:val="23"/>
        </w:rPr>
        <w:t>Work test note (age 67+)</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Downsizer contribution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downsizer contribution</w:t>
              <w:br/>
              <w:t>• sold home</w:t>
              <w:br/>
              <w:t>• sale of home proceeds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sz w:val="19"/>
              </w:rPr>
              <w:t>We recommend you utilise the downsizer contribution strategy to make a one-off contribution of up to $300,000 each ($600,000 per couple) to your new superannuation account from the proceeds of the sale of your home.</w:t>
            </w:r>
          </w:p>
        </w:tc>
      </w:tr>
      <w:tr>
        <w:tc>
          <w:tcPr>
            <w:tcW w:type="dxa" w:w="5256"/>
            <w:shd w:val="clear" w:fill="E5F4F6"/>
          </w:tcPr>
          <w:p>
            <w:r>
              <w:rPr>
                <w:b/>
                <w:color w:val="0C2E3F"/>
                <w:sz w:val="17"/>
              </w:rPr>
              <w:t>Summary – Outcomes line</w:t>
            </w:r>
          </w:p>
        </w:tc>
        <w:tc>
          <w:tcPr>
            <w:tcW w:type="dxa" w:w="5256"/>
          </w:tcPr>
          <w:p>
            <w:r>
              <w:rPr>
                <w:sz w:val="19"/>
              </w:rPr>
              <w:t>The proceeds of your home sale are moved into the concessionally-taxed superannuation environment and used to fund a tax-free retirement income stream.</w:t>
            </w:r>
          </w:p>
        </w:tc>
      </w:tr>
      <w:tr>
        <w:tc>
          <w:tcPr>
            <w:tcW w:type="dxa" w:w="5256"/>
            <w:shd w:val="clear" w:fill="E5F4F6"/>
          </w:tcPr>
          <w:p>
            <w:r>
              <w:rPr>
                <w:b/>
                <w:color w:val="0C2E3F"/>
                <w:sz w:val="17"/>
              </w:rPr>
              <w:t>Why / In line with your goals (bullets)</w:t>
            </w:r>
          </w:p>
        </w:tc>
        <w:tc>
          <w:tcPr>
            <w:tcW w:type="dxa" w:w="5256"/>
          </w:tcPr>
          <w:p>
            <w:r>
              <w:rPr>
                <w:sz w:val="19"/>
              </w:rPr>
              <w:t>• The downsizer contribution lets you move up to $300,000 each from the sale of a main residence (owned 10+ years, age 55+) into super, regardless of your other contribution caps or total super balance.</w:t>
              <w:br/>
              <w:t>• It allows the proceeds to be professionally managed in line with your risk profile and drawn as tax-free retirement income.</w:t>
            </w:r>
          </w:p>
        </w:tc>
      </w:tr>
      <w:tr>
        <w:tc>
          <w:tcPr>
            <w:tcW w:type="dxa" w:w="5256"/>
            <w:shd w:val="clear" w:fill="E5F4F6"/>
          </w:tcPr>
          <w:p>
            <w:r>
              <w:rPr>
                <w:b/>
                <w:color w:val="0C2E3F"/>
                <w:sz w:val="17"/>
              </w:rPr>
              <w:t>Risks &amp; Disadvantages (bullets)</w:t>
            </w:r>
          </w:p>
        </w:tc>
        <w:tc>
          <w:tcPr>
            <w:tcW w:type="dxa" w:w="5256"/>
          </w:tcPr>
          <w:p>
            <w:r>
              <w:rPr>
                <w:sz w:val="19"/>
              </w:rPr>
              <w:t>• There is the normal risk of markets falling and unforeseen circumstances requiring you to draw funds when markets are down.</w:t>
              <w:br/>
              <w:t>• By investing your cash into a superannuation fund instead of a bank account you lose capital stability and a known rate of return. You also lose access to the government guarantee on deposits up to $250,000.</w:t>
              <w:br/>
              <w:t>• Funds are preserved — you cannot access them until you meet a condition of release.</w:t>
            </w:r>
          </w:p>
        </w:tc>
      </w:tr>
      <w:tr>
        <w:tc>
          <w:tcPr>
            <w:tcW w:type="dxa" w:w="5256"/>
            <w:shd w:val="clear" w:fill="E5F4F6"/>
          </w:tcPr>
          <w:p>
            <w:r>
              <w:rPr>
                <w:b/>
                <w:color w:val="0C2E3F"/>
                <w:sz w:val="17"/>
              </w:rPr>
              <w:t>Alternatives (bullets)</w:t>
            </w:r>
          </w:p>
        </w:tc>
        <w:tc>
          <w:tcPr>
            <w:tcW w:type="dxa" w:w="5256"/>
          </w:tcPr>
          <w:p>
            <w:r>
              <w:rPr>
                <w:sz w:val="19"/>
              </w:rPr>
              <w:t>• Retain the proceeds in cash/term deposits — discounted as it forgoes the tax-effective superannuation environment and professional management.</w:t>
              <w:br/>
              <w:t>• Contribute via non-concessional contributions instead — discounted where the downsizer rules allow a larger contribution without using your NCC caps.</w:t>
            </w:r>
          </w:p>
        </w:tc>
      </w:tr>
    </w:tbl>
    <w:p/>
    <w:p>
      <w:pPr>
        <w:pStyle w:val="Heading2"/>
      </w:pPr>
      <w:r>
        <w:rPr>
          <w:color w:val="0C2E3F"/>
          <w:sz w:val="23"/>
        </w:rPr>
        <w:t>Contributions reserving strategy (double concessional cap before age 67)</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reserving</w:t>
              <w:br/>
              <w:t>• contributions reserving</w:t>
              <w:br/>
              <w:t>• reserve contribution</w:t>
              <w:br/>
              <w:t>• double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contributions scoped; client under 67 with capacity</w:t>
            </w:r>
          </w:p>
        </w:tc>
      </w:tr>
      <w:tr>
        <w:tc>
          <w:tcPr>
            <w:tcW w:type="dxa" w:w="5256"/>
            <w:shd w:val="clear" w:fill="E5F4F6"/>
          </w:tcPr>
          <w:p>
            <w:r>
              <w:rPr>
                <w:b/>
                <w:color w:val="0C2E3F"/>
                <w:sz w:val="17"/>
              </w:rPr>
              <w:t>Figures it pulls ($ / %)</w:t>
            </w:r>
          </w:p>
        </w:tc>
        <w:tc>
          <w:tcPr>
            <w:tcW w:type="dxa" w:w="5256"/>
          </w:tcPr>
          <w:p>
            <w:r>
              <w:rPr>
                <w:sz w:val="19"/>
              </w:rPr>
              <w:t>Concessional cap × 2 (current + next FY)</w:t>
            </w:r>
          </w:p>
        </w:tc>
      </w:tr>
      <w:tr>
        <w:tc>
          <w:tcPr>
            <w:tcW w:type="dxa" w:w="5256"/>
            <w:shd w:val="clear" w:fill="E5F4F6"/>
          </w:tcPr>
          <w:p>
            <w:r>
              <w:rPr>
                <w:b/>
                <w:color w:val="0C2E3F"/>
                <w:sz w:val="17"/>
              </w:rPr>
              <w:t>Summary – Strategies line</w:t>
            </w:r>
          </w:p>
        </w:tc>
        <w:tc>
          <w:tcPr>
            <w:tcW w:type="dxa" w:w="5256"/>
          </w:tcPr>
          <w:p>
            <w:r>
              <w:rPr>
                <w:sz w:val="19"/>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tc>
      </w:tr>
      <w:tr>
        <w:tc>
          <w:tcPr>
            <w:tcW w:type="dxa" w:w="5256"/>
            <w:shd w:val="clear" w:fill="E5F4F6"/>
          </w:tcPr>
          <w:p>
            <w:r>
              <w:rPr>
                <w:b/>
                <w:color w:val="0C2E3F"/>
                <w:sz w:val="17"/>
              </w:rPr>
              <w:t>Summary – Outcomes line</w:t>
            </w:r>
          </w:p>
        </w:tc>
        <w:tc>
          <w:tcPr>
            <w:tcW w:type="dxa" w:w="5256"/>
          </w:tcPr>
          <w:p>
            <w:r>
              <w:rPr>
                <w:sz w:val="19"/>
              </w:rPr>
              <w:t>You bring forward and claim two years' worth of concessional caps in the current financial year, maximising the tax deduction and capital moved into super before the work test applies.</w:t>
            </w:r>
          </w:p>
        </w:tc>
      </w:tr>
      <w:tr>
        <w:tc>
          <w:tcPr>
            <w:tcW w:type="dxa" w:w="5256"/>
            <w:shd w:val="clear" w:fill="E5F4F6"/>
          </w:tcPr>
          <w:p>
            <w:r>
              <w:rPr>
                <w:b/>
                <w:color w:val="0C2E3F"/>
                <w:sz w:val="17"/>
              </w:rPr>
              <w:t>Why / In line with your goals (bullets)</w:t>
            </w:r>
          </w:p>
        </w:tc>
        <w:tc>
          <w:tcPr>
            <w:tcW w:type="dxa" w:w="5256"/>
          </w:tcPr>
          <w:p>
            <w:r>
              <w:rPr>
                <w:sz w:val="19"/>
              </w:rPr>
              <w:t>• By maximising your concessional contribution caps across both financial years before age 67, you enhance tax efficiency by reducing personal taxable income and increasing capital within the superannuation environment before work test requirements may apply.</w:t>
            </w:r>
          </w:p>
        </w:tc>
      </w:tr>
      <w:tr>
        <w:tc>
          <w:tcPr>
            <w:tcW w:type="dxa" w:w="5256"/>
            <w:shd w:val="clear" w:fill="E5F4F6"/>
          </w:tcPr>
          <w:p>
            <w:r>
              <w:rPr>
                <w:b/>
                <w:color w:val="0C2E3F"/>
                <w:sz w:val="17"/>
              </w:rPr>
              <w:t>Risks &amp; Disadvantages (bullets)</w:t>
            </w:r>
          </w:p>
        </w:tc>
        <w:tc>
          <w:tcPr>
            <w:tcW w:type="dxa" w:w="5256"/>
          </w:tcPr>
          <w:p>
            <w:r>
              <w:rPr>
                <w:sz w:val="19"/>
              </w:rPr>
              <w:t>• The strategy relies on your accountant confirming eligibility and lodging the relevant ATO contribution-reserving forms; incorrect implementation can cause an excess concessional contribution.</w:t>
              <w:br/>
              <w:t>• The Fund must hold the reserved contribution and allocate it within the prescribed period.</w:t>
            </w:r>
          </w:p>
        </w:tc>
      </w:tr>
      <w:tr>
        <w:tc>
          <w:tcPr>
            <w:tcW w:type="dxa" w:w="5256"/>
            <w:shd w:val="clear" w:fill="E5F4F6"/>
          </w:tcPr>
          <w:p>
            <w:r>
              <w:rPr>
                <w:b/>
                <w:color w:val="0C2E3F"/>
                <w:sz w:val="17"/>
              </w:rPr>
              <w:t>Alternatives (bullets)</w:t>
            </w:r>
          </w:p>
        </w:tc>
        <w:tc>
          <w:tcPr>
            <w:tcW w:type="dxa" w:w="5256"/>
          </w:tcPr>
          <w:p>
            <w:r>
              <w:rPr>
                <w:sz w:val="19"/>
              </w:rPr>
              <w:t>• Make a single year's concessional contribution only — discounted as it forgoes the additional cap available before the work test applies.</w:t>
            </w:r>
          </w:p>
        </w:tc>
      </w:tr>
    </w:tbl>
    <w:p/>
    <w:p>
      <w:pPr>
        <w:pStyle w:val="Heading2"/>
      </w:pPr>
      <w:r>
        <w:rPr>
          <w:color w:val="0C2E3F"/>
          <w:sz w:val="23"/>
        </w:rPr>
        <w:t>First Home Super Saver Scheme (FHSSS)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first home super saver</w:t>
              <w:br/>
              <w:t>• fhsss</w:t>
              <w:br/>
              <w:t>• first home</w:t>
              <w:br/>
              <w:t>• fhss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saving for a first home; eligible to make voluntary contributions</w:t>
            </w:r>
          </w:p>
        </w:tc>
      </w:tr>
      <w:tr>
        <w:tc>
          <w:tcPr>
            <w:tcW w:type="dxa" w:w="5256"/>
            <w:shd w:val="clear" w:fill="E5F4F6"/>
          </w:tcPr>
          <w:p>
            <w:r>
              <w:rPr>
                <w:b/>
                <w:color w:val="0C2E3F"/>
                <w:sz w:val="17"/>
              </w:rPr>
              <w:t>Figures it pulls ($ / %)</w:t>
            </w:r>
          </w:p>
        </w:tc>
        <w:tc>
          <w:tcPr>
            <w:tcW w:type="dxa" w:w="5256"/>
          </w:tcPr>
          <w:p>
            <w:r>
              <w:rPr>
                <w:sz w:val="19"/>
              </w:rPr>
              <w:t>Voluntary contributions up to the FHSSS limit; salary-sacrifice amount</w:t>
            </w:r>
          </w:p>
        </w:tc>
      </w:tr>
      <w:tr>
        <w:tc>
          <w:tcPr>
            <w:tcW w:type="dxa" w:w="5256"/>
            <w:shd w:val="clear" w:fill="E5F4F6"/>
          </w:tcPr>
          <w:p>
            <w:r>
              <w:rPr>
                <w:b/>
                <w:color w:val="0C2E3F"/>
                <w:sz w:val="17"/>
              </w:rPr>
              <w:t>Summary – Strategies line</w:t>
            </w:r>
          </w:p>
        </w:tc>
        <w:tc>
          <w:tcPr>
            <w:tcW w:type="dxa" w:w="5256"/>
          </w:tcPr>
          <w:p>
            <w:r>
              <w:rPr>
                <w:sz w:val="19"/>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tc>
      </w:tr>
      <w:tr>
        <w:tc>
          <w:tcPr>
            <w:tcW w:type="dxa" w:w="5256"/>
            <w:shd w:val="clear" w:fill="E5F4F6"/>
          </w:tcPr>
          <w:p>
            <w:r>
              <w:rPr>
                <w:b/>
                <w:color w:val="0C2E3F"/>
                <w:sz w:val="17"/>
              </w:rPr>
              <w:t>Summary – Outcomes line</w:t>
            </w:r>
          </w:p>
        </w:tc>
        <w:tc>
          <w:tcPr>
            <w:tcW w:type="dxa" w:w="5256"/>
          </w:tcPr>
          <w:p>
            <w:r>
              <w:rPr>
                <w:sz w:val="19"/>
              </w:rPr>
              <w:t>You save for your deposit inside super at concessional tax rates, then release the funds (plus deemed earnings) to put toward your first home.</w:t>
            </w:r>
          </w:p>
        </w:tc>
      </w:tr>
      <w:tr>
        <w:tc>
          <w:tcPr>
            <w:tcW w:type="dxa" w:w="5256"/>
            <w:shd w:val="clear" w:fill="E5F4F6"/>
          </w:tcPr>
          <w:p>
            <w:r>
              <w:rPr>
                <w:b/>
                <w:color w:val="0C2E3F"/>
                <w:sz w:val="17"/>
              </w:rPr>
              <w:t>Why / In line with your goals (bullets)</w:t>
            </w:r>
          </w:p>
        </w:tc>
        <w:tc>
          <w:tcPr>
            <w:tcW w:type="dxa" w:w="5256"/>
          </w:tcPr>
          <w:p>
            <w:r>
              <w:rPr>
                <w:sz w:val="19"/>
              </w:rPr>
              <w:t>• Voluntary contributions are taxed concessionally in super, and the released amount (including associated earnings) is taxed more favourably than ordinary income, helping you build your deposit faster.</w:t>
            </w:r>
          </w:p>
        </w:tc>
      </w:tr>
      <w:tr>
        <w:tc>
          <w:tcPr>
            <w:tcW w:type="dxa" w:w="5256"/>
            <w:shd w:val="clear" w:fill="E5F4F6"/>
          </w:tcPr>
          <w:p>
            <w:r>
              <w:rPr>
                <w:b/>
                <w:color w:val="0C2E3F"/>
                <w:sz w:val="17"/>
              </w:rPr>
              <w:t>Risks &amp; Disadvantages (bullets)</w:t>
            </w:r>
          </w:p>
        </w:tc>
        <w:tc>
          <w:tcPr>
            <w:tcW w:type="dxa" w:w="5256"/>
          </w:tcPr>
          <w:p>
            <w:r>
              <w:rPr>
                <w:sz w:val="19"/>
              </w:rPr>
              <w:t>• Funds are accessible only for an eligible first-home purchase; if you don't proceed, the contributions remain preserved in super.</w:t>
              <w:br/>
              <w:t>• Income/timing matters — salary sacrifice may interact with co-contribution eligibility, and the release requires a myGov determination then a release request.</w:t>
            </w:r>
          </w:p>
        </w:tc>
      </w:tr>
      <w:tr>
        <w:tc>
          <w:tcPr>
            <w:tcW w:type="dxa" w:w="5256"/>
            <w:shd w:val="clear" w:fill="E5F4F6"/>
          </w:tcPr>
          <w:p>
            <w:r>
              <w:rPr>
                <w:b/>
                <w:color w:val="0C2E3F"/>
                <w:sz w:val="17"/>
              </w:rPr>
              <w:t>Alternatives (bullets)</w:t>
            </w:r>
          </w:p>
        </w:tc>
        <w:tc>
          <w:tcPr>
            <w:tcW w:type="dxa" w:w="5256"/>
          </w:tcPr>
          <w:p>
            <w:r>
              <w:rPr>
                <w:sz w:val="19"/>
              </w:rPr>
              <w:t>• Save the deposit outside super — discounted as it forgoes the FHSSS tax concession.</w:t>
            </w:r>
          </w:p>
        </w:tc>
      </w:tr>
    </w:tbl>
    <w:p/>
    <w:p>
      <w:pPr>
        <w:pStyle w:val="Heading2"/>
      </w:pPr>
      <w:r>
        <w:rPr>
          <w:color w:val="0C2E3F"/>
          <w:sz w:val="23"/>
        </w:rPr>
        <w:t>Salary packaging (employer-provided, e.g. health / PBI sector)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salary packaging</w:t>
              <w:br/>
              <w:t>• salary package</w:t>
              <w:br/>
              <w:t>• fringe benefit</w:t>
              <w:br/>
              <w:t>• packaging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Employer offers salary packaging (commonly health/charity/PBI employers)</w:t>
            </w:r>
          </w:p>
        </w:tc>
      </w:tr>
      <w:tr>
        <w:tc>
          <w:tcPr>
            <w:tcW w:type="dxa" w:w="5256"/>
            <w:shd w:val="clear" w:fill="E5F4F6"/>
          </w:tcPr>
          <w:p>
            <w:r>
              <w:rPr>
                <w:b/>
                <w:color w:val="0C2E3F"/>
                <w:sz w:val="17"/>
              </w:rPr>
              <w:t>Figures it pulls ($ / %)</w:t>
            </w:r>
          </w:p>
        </w:tc>
        <w:tc>
          <w:tcPr>
            <w:tcW w:type="dxa" w:w="5256"/>
          </w:tcPr>
          <w:p>
            <w:r>
              <w:rPr>
                <w:sz w:val="19"/>
              </w:rPr>
              <w:t>Maximum annual packaging amount available from the employer</w:t>
            </w:r>
          </w:p>
        </w:tc>
      </w:tr>
      <w:tr>
        <w:tc>
          <w:tcPr>
            <w:tcW w:type="dxa" w:w="5256"/>
            <w:shd w:val="clear" w:fill="E5F4F6"/>
          </w:tcPr>
          <w:p>
            <w:r>
              <w:rPr>
                <w:b/>
                <w:color w:val="0C2E3F"/>
                <w:sz w:val="17"/>
              </w:rPr>
              <w:t>Summary – Strategies line</w:t>
            </w:r>
          </w:p>
        </w:tc>
        <w:tc>
          <w:tcPr>
            <w:tcW w:type="dxa" w:w="5256"/>
          </w:tcPr>
          <w:p>
            <w:r>
              <w:rPr>
                <w:sz w:val="19"/>
              </w:rPr>
              <w:t>We recommend you commence salary packaging your income to the maximum amount available to you (e.g. $9,010 p.a.).</w:t>
            </w:r>
          </w:p>
        </w:tc>
      </w:tr>
      <w:tr>
        <w:tc>
          <w:tcPr>
            <w:tcW w:type="dxa" w:w="5256"/>
            <w:shd w:val="clear" w:fill="E5F4F6"/>
          </w:tcPr>
          <w:p>
            <w:r>
              <w:rPr>
                <w:b/>
                <w:color w:val="0C2E3F"/>
                <w:sz w:val="17"/>
              </w:rPr>
              <w:t>Summary – Outcomes line</w:t>
            </w:r>
          </w:p>
        </w:tc>
        <w:tc>
          <w:tcPr>
            <w:tcW w:type="dxa" w:w="5256"/>
          </w:tcPr>
          <w:p>
            <w:r>
              <w:rPr>
                <w:sz w:val="19"/>
              </w:rPr>
              <w:t>Pre-tax income is diverted to packaged benefits, reducing your taxable income.</w:t>
            </w:r>
          </w:p>
        </w:tc>
      </w:tr>
      <w:tr>
        <w:tc>
          <w:tcPr>
            <w:tcW w:type="dxa" w:w="5256"/>
            <w:shd w:val="clear" w:fill="E5F4F6"/>
          </w:tcPr>
          <w:p>
            <w:r>
              <w:rPr>
                <w:b/>
                <w:color w:val="0C2E3F"/>
                <w:sz w:val="17"/>
              </w:rPr>
              <w:t>Why / In line with your goals (bullets)</w:t>
            </w:r>
          </w:p>
        </w:tc>
        <w:tc>
          <w:tcPr>
            <w:tcW w:type="dxa" w:w="5256"/>
          </w:tcPr>
          <w:p>
            <w:r>
              <w:rPr>
                <w:sz w:val="19"/>
              </w:rPr>
              <w:t>• Salary packaging reduces your assessable income at your marginal tax rate without using your concessional contribution cap, improving your after-tax position.</w:t>
            </w:r>
          </w:p>
        </w:tc>
      </w:tr>
      <w:tr>
        <w:tc>
          <w:tcPr>
            <w:tcW w:type="dxa" w:w="5256"/>
            <w:shd w:val="clear" w:fill="E5F4F6"/>
          </w:tcPr>
          <w:p>
            <w:r>
              <w:rPr>
                <w:b/>
                <w:color w:val="0C2E3F"/>
                <w:sz w:val="17"/>
              </w:rPr>
              <w:t>Risks &amp; Disadvantages (bullets)</w:t>
            </w:r>
          </w:p>
        </w:tc>
        <w:tc>
          <w:tcPr>
            <w:tcW w:type="dxa" w:w="5256"/>
          </w:tcPr>
          <w:p>
            <w:r>
              <w:rPr>
                <w:sz w:val="19"/>
              </w:rPr>
              <w:t>• Availability depends on your employer and role; it ceases if you change employers.</w:t>
              <w:br/>
              <w:t>• It can interact with means-tested benefits; coordinate with any salary sacrifice so you do not exceed your concessional cap.</w:t>
            </w:r>
          </w:p>
        </w:tc>
      </w:tr>
      <w:tr>
        <w:tc>
          <w:tcPr>
            <w:tcW w:type="dxa" w:w="5256"/>
            <w:shd w:val="clear" w:fill="E5F4F6"/>
          </w:tcPr>
          <w:p>
            <w:r>
              <w:rPr>
                <w:b/>
                <w:color w:val="0C2E3F"/>
                <w:sz w:val="17"/>
              </w:rPr>
              <w:t>Alternatives (bullets)</w:t>
            </w:r>
          </w:p>
        </w:tc>
        <w:tc>
          <w:tcPr>
            <w:tcW w:type="dxa" w:w="5256"/>
          </w:tcPr>
          <w:p>
            <w:r>
              <w:rPr>
                <w:sz w:val="19"/>
              </w:rPr>
              <w:t>• Forgo packaging and use post-tax income — discounted as it forgoes the tax saving available through your employer.</w:t>
            </w:r>
          </w:p>
        </w:tc>
      </w:tr>
    </w:tbl>
    <w:p/>
    <w:p>
      <w:pPr>
        <w:pStyle w:val="Heading2"/>
      </w:pPr>
      <w:r>
        <w:rPr>
          <w:color w:val="0C2E3F"/>
          <w:sz w:val="23"/>
        </w:rPr>
        <w:t>Carry-forward concessional contribution to offset CGT on an asset sale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capital gains</w:t>
              <w:br/>
              <w:t>• cgt</w:t>
              <w:br/>
              <w:t>• sell investment property</w:t>
              <w:br/>
              <w:t>• asset sale</w:t>
              <w:br/>
              <w:t>• offset capital gain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 capital gain is being realised (e.g. investment property sale) and unused concessional cap is available</w:t>
            </w:r>
          </w:p>
        </w:tc>
      </w:tr>
      <w:tr>
        <w:tc>
          <w:tcPr>
            <w:tcW w:type="dxa" w:w="5256"/>
            <w:shd w:val="clear" w:fill="E5F4F6"/>
          </w:tcPr>
          <w:p>
            <w:r>
              <w:rPr>
                <w:b/>
                <w:color w:val="0C2E3F"/>
                <w:sz w:val="17"/>
              </w:rPr>
              <w:t>Figures it pulls ($ / %)</w:t>
            </w:r>
          </w:p>
        </w:tc>
        <w:tc>
          <w:tcPr>
            <w:tcW w:type="dxa" w:w="5256"/>
          </w:tcPr>
          <w:p>
            <w:r>
              <w:rPr>
                <w:sz w:val="19"/>
              </w:rPr>
              <w:t>Estimated capital gain; carry-forward concessional contribution; CGT before vs after</w:t>
            </w:r>
          </w:p>
        </w:tc>
      </w:tr>
      <w:tr>
        <w:tc>
          <w:tcPr>
            <w:tcW w:type="dxa" w:w="5256"/>
            <w:shd w:val="clear" w:fill="E5F4F6"/>
          </w:tcPr>
          <w:p>
            <w:r>
              <w:rPr>
                <w:b/>
                <w:color w:val="0C2E3F"/>
                <w:sz w:val="17"/>
              </w:rPr>
              <w:t>Summary – Strategies line</w:t>
            </w:r>
          </w:p>
        </w:tc>
        <w:tc>
          <w:tcPr>
            <w:tcW w:type="dxa" w:w="5256"/>
          </w:tcPr>
          <w:p>
            <w:r>
              <w:rPr>
                <w:sz w:val="19"/>
              </w:rPr>
              <w:t>We recommend you each make a once-off concessional contribution using the carry-forward rule in the year you realise the capital gain (e.g. $26,000 each), claiming it as a tax deduction to reduce your assessable capital gain.</w:t>
            </w:r>
          </w:p>
        </w:tc>
      </w:tr>
      <w:tr>
        <w:tc>
          <w:tcPr>
            <w:tcW w:type="dxa" w:w="5256"/>
            <w:shd w:val="clear" w:fill="E5F4F6"/>
          </w:tcPr>
          <w:p>
            <w:r>
              <w:rPr>
                <w:b/>
                <w:color w:val="0C2E3F"/>
                <w:sz w:val="17"/>
              </w:rPr>
              <w:t>Summary – Outcomes line</w:t>
            </w:r>
          </w:p>
        </w:tc>
        <w:tc>
          <w:tcPr>
            <w:tcW w:type="dxa" w:w="5256"/>
          </w:tcPr>
          <w:p>
            <w:r>
              <w:rPr>
                <w:sz w:val="19"/>
              </w:rPr>
              <w:t>The deduction reduces the tax payable on the sale (e.g. reducing the CGT liability from $41,000 to $33,000) while boosting your super.</w:t>
            </w:r>
          </w:p>
        </w:tc>
      </w:tr>
      <w:tr>
        <w:tc>
          <w:tcPr>
            <w:tcW w:type="dxa" w:w="5256"/>
            <w:shd w:val="clear" w:fill="E5F4F6"/>
          </w:tcPr>
          <w:p>
            <w:r>
              <w:rPr>
                <w:b/>
                <w:color w:val="0C2E3F"/>
                <w:sz w:val="17"/>
              </w:rPr>
              <w:t>Why / In line with your goals (bullets)</w:t>
            </w:r>
          </w:p>
        </w:tc>
        <w:tc>
          <w:tcPr>
            <w:tcW w:type="dxa" w:w="5256"/>
          </w:tcPr>
          <w:p>
            <w:r>
              <w:rPr>
                <w:sz w:val="19"/>
              </w:rPr>
              <w:t>• Unused concessional cap from prior years can be 'carried forward' and used in a high-income year to shelter a capital gain, moving money into the concessionally-taxed super environment.</w:t>
            </w:r>
          </w:p>
        </w:tc>
      </w:tr>
      <w:tr>
        <w:tc>
          <w:tcPr>
            <w:tcW w:type="dxa" w:w="5256"/>
            <w:shd w:val="clear" w:fill="E5F4F6"/>
          </w:tcPr>
          <w:p>
            <w:r>
              <w:rPr>
                <w:b/>
                <w:color w:val="0C2E3F"/>
                <w:sz w:val="17"/>
              </w:rPr>
              <w:t>Risks &amp; Disadvantages (bullets)</w:t>
            </w:r>
          </w:p>
        </w:tc>
        <w:tc>
          <w:tcPr>
            <w:tcW w:type="dxa" w:w="5256"/>
          </w:tcPr>
          <w:p>
            <w:r>
              <w:rPr>
                <w:sz w:val="19"/>
              </w:rPr>
              <w:t>• Requires sufficient carry-forward cap room and a total super balance under the threshold; the contribution must be made in the same financial year as the gain.</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sale proceeds outside super — discounted as it forgoes the CGT-offset benefit; or use the non-concessional cap (no deduction).</w:t>
            </w:r>
          </w:p>
        </w:tc>
      </w:tr>
    </w:tbl>
    <w:p/>
    <w:p>
      <w:pPr>
        <w:pStyle w:val="Heading2"/>
      </w:pPr>
      <w:r>
        <w:rPr>
          <w:color w:val="0C2E3F"/>
          <w:sz w:val="23"/>
        </w:rPr>
        <w:t>Notice of intent — claim a tax deduction on unclaimed personal contributions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notice of intent</w:t>
              <w:br/>
              <w:t>• claim tax deduction on contributions</w:t>
              <w:br/>
              <w:t>• unclaimed contributions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submit a notice of intent to claim a tax deduction on any unclaimed personal contributions made this and the previous financial year.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Claiming the deduction converts after-tax contributions into concessional ones, reducing your taxable income.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Arrange salary sacrifice with employer (switch post-tax to pre-tax)</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switch to salary sacrifice</w:t>
              <w:br/>
              <w:t>• speak to employer</w:t>
              <w:br/>
              <w:t>• post tax to pre tax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speak with your employer to switch your current post-tax contributions to pre-tax salary-sacrifice contributions.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Pre-tax (salary-sacrifice)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Division 293 tax note (high-income earners)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division 293</w:t>
              <w:br/>
              <w:t>• div293</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as a higher-income earner you may be subject to Division 293 tax — an additional 15% on concessional contributions where your income plus contributions exceeds the threshold.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Division 296 tax note (total super balance over $3m)</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division 296</w:t>
              <w:br/>
              <w:t>• div296</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Division 296 may apply an additional tax on earnings attributable to the portion of your total super balance above $3m.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1"/>
      </w:pPr>
      <w:r>
        <w:rPr>
          <w:color w:val="1F6FEB"/>
          <w:sz w:val="30"/>
        </w:rPr>
        <w:t>7 · Personal Protection</w:t>
      </w:r>
    </w:p>
    <w:p>
      <w:r>
        <w:rPr>
          <w:i/>
          <w:color w:val="5B6B76"/>
          <w:sz w:val="18"/>
        </w:rPr>
        <w:t>New, top‑up, replace/takeover and retain wording is verbatim from your SOAs (Linked/Own‑Occupation, inside‑super vs personal, 90‑day wait, etc.).</w:t>
      </w:r>
    </w:p>
    <w:p>
      <w:pPr>
        <w:pStyle w:val="Heading2"/>
      </w:pPr>
      <w:r>
        <w:rPr>
          <w:color w:val="0C2E3F"/>
          <w:sz w:val="23"/>
        </w:rPr>
        <w:t>Levels of cover as per quotes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levels of cover as per quotes</w:t>
              <w:br/>
              <w:t>• cover as per quotes</w:t>
            </w:r>
          </w:p>
        </w:tc>
      </w:tr>
      <w:tr>
        <w:tc>
          <w:tcPr>
            <w:tcW w:type="dxa" w:w="5256"/>
            <w:shd w:val="clear" w:fill="E5F4F6"/>
          </w:tcPr>
          <w:p>
            <w:r>
              <w:rPr>
                <w:b/>
                <w:color w:val="0C2E3F"/>
                <w:sz w:val="17"/>
              </w:rPr>
              <w:t>Always-on / Tailored</w:t>
            </w:r>
          </w:p>
        </w:tc>
        <w:tc>
          <w:tcPr>
            <w:tcW w:type="dxa" w:w="5256"/>
          </w:tcPr>
          <w:p>
            <w:r>
              <w:rPr>
                <w:sz w:val="19"/>
              </w:rPr>
              <w:t>Always-on (insurance scoped)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Levels of cover as per the attached quotes.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Take out new cover (Life / TPD / Trauma / IP)</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p>
      <w:pPr>
        <w:pStyle w:val="Heading2"/>
      </w:pPr>
      <w:r>
        <w:rPr>
          <w:color w:val="0C2E3F"/>
          <w:sz w:val="23"/>
        </w:rPr>
        <w:t>Top-up / increase existing cover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p>
      <w:pPr>
        <w:pStyle w:val="Heading2"/>
      </w:pPr>
      <w:r>
        <w:rPr>
          <w:color w:val="0C2E3F"/>
          <w:sz w:val="23"/>
        </w:rPr>
        <w:t>Replace / cancel &amp; take out new cover (with takeover terms)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p>
      <w:pPr>
        <w:pStyle w:val="Heading2"/>
      </w:pPr>
      <w:r>
        <w:rPr>
          <w:color w:val="0C2E3F"/>
          <w:sz w:val="23"/>
        </w:rPr>
        <w:t>Retain existing cover (inside super)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p>
      <w:pPr>
        <w:pStyle w:val="Heading2"/>
      </w:pPr>
      <w:r>
        <w:rPr>
          <w:color w:val="0C2E3F"/>
          <w:sz w:val="23"/>
        </w:rPr>
        <w:t>Income Protection — retain existing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p>
      <w:pPr>
        <w:pStyle w:val="Heading2"/>
      </w:pPr>
      <w:r>
        <w:rPr>
          <w:color w:val="0C2E3F"/>
          <w:sz w:val="23"/>
        </w:rPr>
        <w:t>Employer-paid / default cover (retain or note)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p>
      <w:pPr>
        <w:pStyle w:val="Heading2"/>
      </w:pPr>
      <w:r>
        <w:rPr>
          <w:color w:val="0C2E3F"/>
          <w:sz w:val="23"/>
        </w:rPr>
        <w:t>Apply for child cover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p>
      <w:pPr>
        <w:pStyle w:val="Heading2"/>
      </w:pPr>
      <w:r>
        <w:rPr>
          <w:color w:val="0C2E3F"/>
          <w:sz w:val="23"/>
        </w:rPr>
        <w:t>Premium structure — stepped vs level / variable age-stepped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Variable Age-Stepped premium structure for all cover. [Couple variant: where a client prefers long-term affordability, recommend a level premium structure for that person, and a variable age-stepped structure for the other.]</w:t>
            </w:r>
          </w:p>
        </w:tc>
      </w:tr>
      <w:tr>
        <w:tc>
          <w:tcPr>
            <w:tcW w:type="dxa" w:w="5256"/>
            <w:shd w:val="clear" w:fill="E5F4F6"/>
          </w:tcPr>
          <w:p>
            <w:r>
              <w:rPr>
                <w:b/>
                <w:color w:val="0C2E3F"/>
                <w:sz w:val="17"/>
              </w:rPr>
              <w:t>Summary – Outcomes line</w:t>
            </w:r>
          </w:p>
        </w:tc>
        <w:tc>
          <w:tcPr>
            <w:tcW w:type="dxa" w:w="5256"/>
          </w:tcPr>
          <w:p>
            <w:r>
              <w:rPr>
                <w:sz w:val="19"/>
              </w:rPr>
              <w:t>Your premium structure is matched to your affordability preference — variable age-stepped for immediate affordability and flexibility, level for long-term affordability.</w:t>
            </w:r>
          </w:p>
        </w:tc>
      </w:tr>
      <w:tr>
        <w:tc>
          <w:tcPr>
            <w:tcW w:type="dxa" w:w="5256"/>
            <w:shd w:val="clear" w:fill="E5F4F6"/>
          </w:tcPr>
          <w:p>
            <w:r>
              <w:rPr>
                <w:b/>
                <w:color w:val="0C2E3F"/>
                <w:sz w:val="17"/>
              </w:rPr>
              <w:t>Why / In line with your goals (bullets)</w:t>
            </w:r>
          </w:p>
        </w:tc>
        <w:tc>
          <w:tcPr>
            <w:tcW w:type="dxa" w:w="5256"/>
          </w:tcPr>
          <w:p>
            <w:r>
              <w:rPr>
                <w:sz w:val="19"/>
              </w:rPr>
              <w:t>• We have recommended a Variable Age-Stepped premium structure which will give you immediate affordability and ongoing flexibility of your coverage.</w:t>
              <w:br/>
              <w:t>• [Level variant] We have recommended retaining a level premium structure which will give you long-term affordability.</w:t>
            </w:r>
          </w:p>
        </w:tc>
      </w:tr>
      <w:tr>
        <w:tc>
          <w:tcPr>
            <w:tcW w:type="dxa" w:w="5256"/>
            <w:shd w:val="clear" w:fill="E5F4F6"/>
          </w:tcPr>
          <w:p>
            <w:r>
              <w:rPr>
                <w:b/>
                <w:color w:val="0C2E3F"/>
                <w:sz w:val="17"/>
              </w:rPr>
              <w:t>Risks &amp; Disadvantages (bullets)</w:t>
            </w:r>
          </w:p>
        </w:tc>
        <w:tc>
          <w:tcPr>
            <w:tcW w:type="dxa" w:w="5256"/>
          </w:tcPr>
          <w:p>
            <w:r>
              <w:rPr>
                <w:sz w:val="19"/>
              </w:rPr>
              <w:t>• Premiums increase over time (for stepped / variable age-stepped structures).</w:t>
              <w:br/>
              <w:t>• Holding cover inside super reduces your retirement balance over time.</w:t>
              <w:br/>
              <w:t>• Underwriting may apply medical exclusions or loadings (e.g. higher premiums for smoker status); a suicide exclusion typically applies for the first 13 months.</w:t>
            </w:r>
          </w:p>
        </w:tc>
      </w:tr>
      <w:tr>
        <w:tc>
          <w:tcPr>
            <w:tcW w:type="dxa" w:w="5256"/>
            <w:shd w:val="clear" w:fill="E5F4F6"/>
          </w:tcPr>
          <w:p>
            <w:r>
              <w:rPr>
                <w:b/>
                <w:color w:val="0C2E3F"/>
                <w:sz w:val="17"/>
              </w:rPr>
              <w:t>Alternatives (bullets)</w:t>
            </w:r>
          </w:p>
        </w:tc>
        <w:tc>
          <w:tcPr>
            <w:tcW w:type="dxa" w:w="5256"/>
          </w:tcPr>
          <w:p>
            <w:r>
              <w:rPr>
                <w:sz w:val="19"/>
              </w:rPr>
              <w:t>• 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tc>
      </w:tr>
    </w:tbl>
    <w:p/>
    <w:p>
      <w:pPr>
        <w:pStyle w:val="Heading2"/>
      </w:pPr>
      <w:r>
        <w:rPr>
          <w:color w:val="0C2E3F"/>
          <w:sz w:val="23"/>
        </w:rPr>
        <w:t>Cancel cover no longer required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p>
      <w:pPr>
        <w:pStyle w:val="Heading2"/>
      </w:pPr>
      <w:r>
        <w:rPr>
          <w:color w:val="0C2E3F"/>
          <w:sz w:val="23"/>
        </w:rPr>
        <w:t>Income Protection — increasing/CPI-indexed claim benefit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increasing claim</w:t>
              <w:br/>
              <w:t>• cpi indexation</w:t>
              <w:br/>
              <w:t>• indexed benefit</w:t>
              <w:br/>
              <w:t>• increasing claims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recommended/retained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an increasing-claim option so that, while you are receiving payments, your benefit is indexed at each review date in line with CPI. This increase is capped to 5% if income protection is structured through superannuation.</w:t>
            </w:r>
          </w:p>
        </w:tc>
      </w:tr>
      <w:tr>
        <w:tc>
          <w:tcPr>
            <w:tcW w:type="dxa" w:w="5256"/>
            <w:shd w:val="clear" w:fill="E5F4F6"/>
          </w:tcPr>
          <w:p>
            <w:r>
              <w:rPr>
                <w:b/>
                <w:color w:val="0C2E3F"/>
                <w:sz w:val="17"/>
              </w:rPr>
              <w:t>Summary – Outcomes line</w:t>
            </w:r>
          </w:p>
        </w:tc>
        <w:tc>
          <w:tcPr>
            <w:tcW w:type="dxa" w:w="5256"/>
          </w:tcPr>
          <w:p>
            <w:r>
              <w:rPr>
                <w:sz w:val="19"/>
              </w:rPr>
              <w:t>Your income protection payments keep pace with inflation during a long claim.</w:t>
            </w:r>
          </w:p>
        </w:tc>
      </w:tr>
      <w:tr>
        <w:tc>
          <w:tcPr>
            <w:tcW w:type="dxa" w:w="5256"/>
            <w:shd w:val="clear" w:fill="E5F4F6"/>
          </w:tcPr>
          <w:p>
            <w:r>
              <w:rPr>
                <w:b/>
                <w:color w:val="0C2E3F"/>
                <w:sz w:val="17"/>
              </w:rPr>
              <w:t>Why / In line with your goals (bullets)</w:t>
            </w:r>
          </w:p>
        </w:tc>
        <w:tc>
          <w:tcPr>
            <w:tcW w:type="dxa" w:w="5256"/>
          </w:tcPr>
          <w:p>
            <w:r>
              <w:rPr>
                <w:sz w:val="19"/>
              </w:rPr>
              <w:t>• The increasing-claim option protects the real value of your benefit payments over a multi-year claim.</w:t>
            </w:r>
          </w:p>
        </w:tc>
      </w:tr>
      <w:tr>
        <w:tc>
          <w:tcPr>
            <w:tcW w:type="dxa" w:w="5256"/>
            <w:shd w:val="clear" w:fill="E5F4F6"/>
          </w:tcPr>
          <w:p>
            <w:r>
              <w:rPr>
                <w:b/>
                <w:color w:val="0C2E3F"/>
                <w:sz w:val="17"/>
              </w:rPr>
              <w:t>Risks &amp; Disadvantages (bullets)</w:t>
            </w:r>
          </w:p>
        </w:tc>
        <w:tc>
          <w:tcPr>
            <w:tcW w:type="dxa" w:w="5256"/>
          </w:tcPr>
          <w:p>
            <w:r>
              <w:rPr>
                <w:sz w:val="19"/>
              </w:rPr>
              <w:t>• The 5% cap (for super-held cover) may not fully match CPI in high-inflation periods; the indexed benefit increases your premium; indexation applies only while you are on claim.</w:t>
            </w:r>
          </w:p>
        </w:tc>
      </w:tr>
      <w:tr>
        <w:tc>
          <w:tcPr>
            <w:tcW w:type="dxa" w:w="5256"/>
            <w:shd w:val="clear" w:fill="E5F4F6"/>
          </w:tcPr>
          <w:p>
            <w:r>
              <w:rPr>
                <w:b/>
                <w:color w:val="0C2E3F"/>
                <w:sz w:val="17"/>
              </w:rPr>
              <w:t>Alternatives (bullets)</w:t>
            </w:r>
          </w:p>
        </w:tc>
        <w:tc>
          <w:tcPr>
            <w:tcW w:type="dxa" w:w="5256"/>
          </w:tcPr>
          <w:p>
            <w:r>
              <w:rPr>
                <w:sz w:val="19"/>
              </w:rPr>
              <w:t>• Level (non-indexed) benefit — lower ongoing premium but the benefit's real value erodes during a long claim.</w:t>
            </w:r>
          </w:p>
        </w:tc>
      </w:tr>
    </w:tbl>
    <w:p/>
    <w:p>
      <w:pPr>
        <w:pStyle w:val="Heading2"/>
      </w:pPr>
      <w:r>
        <w:rPr>
          <w:color w:val="0C2E3F"/>
          <w:sz w:val="23"/>
        </w:rPr>
        <w:t>Trauma cover with reinstatement benefit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trauma reinstatement</w:t>
              <w:br/>
              <w:t>• reinstatement benefit</w:t>
              <w:br/>
              <w:t>• reinstate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trauma reinstatement benefit which allows you to reinstate the trauma benefit after a claim has been paid.</w:t>
            </w:r>
          </w:p>
        </w:tc>
      </w:tr>
      <w:tr>
        <w:tc>
          <w:tcPr>
            <w:tcW w:type="dxa" w:w="5256"/>
            <w:shd w:val="clear" w:fill="E5F4F6"/>
          </w:tcPr>
          <w:p>
            <w:r>
              <w:rPr>
                <w:b/>
                <w:color w:val="0C2E3F"/>
                <w:sz w:val="17"/>
              </w:rPr>
              <w:t>Summary – Outcomes line</w:t>
            </w:r>
          </w:p>
        </w:tc>
        <w:tc>
          <w:tcPr>
            <w:tcW w:type="dxa" w:w="5256"/>
          </w:tcPr>
          <w:p>
            <w:r>
              <w:rPr>
                <w:sz w:val="19"/>
              </w:rPr>
              <w:t>After a trauma claim is paid, your cover can be reinstated so you remain protected against a later, unrelated trauma event.</w:t>
            </w:r>
          </w:p>
        </w:tc>
      </w:tr>
      <w:tr>
        <w:tc>
          <w:tcPr>
            <w:tcW w:type="dxa" w:w="5256"/>
            <w:shd w:val="clear" w:fill="E5F4F6"/>
          </w:tcPr>
          <w:p>
            <w:r>
              <w:rPr>
                <w:b/>
                <w:color w:val="0C2E3F"/>
                <w:sz w:val="17"/>
              </w:rPr>
              <w:t>Why / In line with your goals (bullets)</w:t>
            </w:r>
          </w:p>
        </w:tc>
        <w:tc>
          <w:tcPr>
            <w:tcW w:type="dxa" w:w="5256"/>
          </w:tcPr>
          <w:p>
            <w:r>
              <w:rPr>
                <w:sz w:val="19"/>
              </w:rPr>
              <w:t>• Recovery from one condition does not remove the risk of a later, unrelated trauma event; reinstatement restores cover for that scenario.</w:t>
            </w:r>
          </w:p>
        </w:tc>
      </w:tr>
      <w:tr>
        <w:tc>
          <w:tcPr>
            <w:tcW w:type="dxa" w:w="5256"/>
            <w:shd w:val="clear" w:fill="E5F4F6"/>
          </w:tcPr>
          <w:p>
            <w:r>
              <w:rPr>
                <w:b/>
                <w:color w:val="0C2E3F"/>
                <w:sz w:val="17"/>
              </w:rPr>
              <w:t>Risks &amp; Disadvantages (bullets)</w:t>
            </w:r>
          </w:p>
        </w:tc>
        <w:tc>
          <w:tcPr>
            <w:tcW w:type="dxa" w:w="5256"/>
          </w:tcPr>
          <w:p>
            <w:r>
              <w:rPr>
                <w:sz w:val="19"/>
              </w:rPr>
              <w:t>• The reinstated benefit may be subject to conditions/waiting periods and adds to the premium; not all insurers offer it.</w:t>
            </w:r>
          </w:p>
        </w:tc>
      </w:tr>
      <w:tr>
        <w:tc>
          <w:tcPr>
            <w:tcW w:type="dxa" w:w="5256"/>
            <w:shd w:val="clear" w:fill="E5F4F6"/>
          </w:tcPr>
          <w:p>
            <w:r>
              <w:rPr>
                <w:b/>
                <w:color w:val="0C2E3F"/>
                <w:sz w:val="17"/>
              </w:rPr>
              <w:t>Alternatives (bullets)</w:t>
            </w:r>
          </w:p>
        </w:tc>
        <w:tc>
          <w:tcPr>
            <w:tcW w:type="dxa" w:w="5256"/>
          </w:tcPr>
          <w:p>
            <w:r>
              <w:rPr>
                <w:sz w:val="19"/>
              </w:rPr>
              <w:t>• Single-claim trauma cover only — lower cost but no protection against a subsequent event.</w:t>
            </w:r>
          </w:p>
        </w:tc>
      </w:tr>
    </w:tbl>
    <w:p/>
    <w:p>
      <w:pPr>
        <w:pStyle w:val="Heading2"/>
      </w:pPr>
      <w:r>
        <w:rPr>
          <w:color w:val="0C2E3F"/>
          <w:sz w:val="23"/>
        </w:rPr>
        <w:t>Linked cover with buy-back feature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buy back</w:t>
              <w:br/>
              <w:t>• buy-back</w:t>
              <w:br/>
              <w:t>• cover buy back</w:t>
              <w:br/>
              <w:t>• linked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written as linked cover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As your TPD/Trauma cover is linked to your Life/TPD cover, a claim on one type of cover will reduce the sum insured on the other — we recommend adding the cover buy-back feature so the reduced cover can be reinstated after a claim.</w:t>
            </w:r>
          </w:p>
        </w:tc>
      </w:tr>
      <w:tr>
        <w:tc>
          <w:tcPr>
            <w:tcW w:type="dxa" w:w="5256"/>
            <w:shd w:val="clear" w:fill="E5F4F6"/>
          </w:tcPr>
          <w:p>
            <w:r>
              <w:rPr>
                <w:b/>
                <w:color w:val="0C2E3F"/>
                <w:sz w:val="17"/>
              </w:rPr>
              <w:t>Summary – Outcomes line</w:t>
            </w:r>
          </w:p>
        </w:tc>
        <w:tc>
          <w:tcPr>
            <w:tcW w:type="dxa" w:w="5256"/>
          </w:tcPr>
          <w:p>
            <w:r>
              <w:rPr>
                <w:sz w:val="19"/>
              </w:rPr>
              <w:t>After a linked claim reduces your other cover, the buy-back feature restores it without re-underwriting.</w:t>
            </w:r>
          </w:p>
        </w:tc>
      </w:tr>
      <w:tr>
        <w:tc>
          <w:tcPr>
            <w:tcW w:type="dxa" w:w="5256"/>
            <w:shd w:val="clear" w:fill="E5F4F6"/>
          </w:tcPr>
          <w:p>
            <w:r>
              <w:rPr>
                <w:b/>
                <w:color w:val="0C2E3F"/>
                <w:sz w:val="17"/>
              </w:rPr>
              <w:t>Why / In line with your goals (bullets)</w:t>
            </w:r>
          </w:p>
        </w:tc>
        <w:tc>
          <w:tcPr>
            <w:tcW w:type="dxa" w:w="5256"/>
          </w:tcPr>
          <w:p>
            <w:r>
              <w:rPr>
                <w:sz w:val="19"/>
              </w:rPr>
              <w:t>• Linked cover is more cost-effective than standalone policies, and the buy-back feature removes the main drawback by restoring the reduced cover after a claim.</w:t>
            </w:r>
          </w:p>
        </w:tc>
      </w:tr>
      <w:tr>
        <w:tc>
          <w:tcPr>
            <w:tcW w:type="dxa" w:w="5256"/>
            <w:shd w:val="clear" w:fill="E5F4F6"/>
          </w:tcPr>
          <w:p>
            <w:r>
              <w:rPr>
                <w:b/>
                <w:color w:val="0C2E3F"/>
                <w:sz w:val="17"/>
              </w:rPr>
              <w:t>Risks &amp; Disadvantages (bullets)</w:t>
            </w:r>
          </w:p>
        </w:tc>
        <w:tc>
          <w:tcPr>
            <w:tcW w:type="dxa" w:w="5256"/>
          </w:tcPr>
          <w:p>
            <w:r>
              <w:rPr>
                <w:sz w:val="19"/>
              </w:rPr>
              <w:t>• The buy-back feature adds to the premium; it applies within defined terms and age limits.</w:t>
            </w:r>
          </w:p>
        </w:tc>
      </w:tr>
      <w:tr>
        <w:tc>
          <w:tcPr>
            <w:tcW w:type="dxa" w:w="5256"/>
            <w:shd w:val="clear" w:fill="E5F4F6"/>
          </w:tcPr>
          <w:p>
            <w:r>
              <w:rPr>
                <w:b/>
                <w:color w:val="0C2E3F"/>
                <w:sz w:val="17"/>
              </w:rPr>
              <w:t>Alternatives (bullets)</w:t>
            </w:r>
          </w:p>
        </w:tc>
        <w:tc>
          <w:tcPr>
            <w:tcW w:type="dxa" w:w="5256"/>
          </w:tcPr>
          <w:p>
            <w:r>
              <w:rPr>
                <w:sz w:val="19"/>
              </w:rPr>
              <w:t>• Standalone (unlinked) policies — no claim-driven reduction but materially higher premiums; or linked cover without buy-back (cheaper, but cover reduces after a claim).</w:t>
            </w:r>
          </w:p>
        </w:tc>
      </w:tr>
    </w:tbl>
    <w:p/>
    <w:p>
      <w:pPr>
        <w:pStyle w:val="Heading2"/>
      </w:pPr>
      <w:r>
        <w:rPr>
          <w:color w:val="0C2E3F"/>
          <w:sz w:val="23"/>
        </w:rPr>
        <w:t>Future insurability / guaranteed future increases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future insurability</w:t>
              <w:br/>
              <w:t>• guaranteed future insurability</w:t>
              <w:br/>
              <w:t>• increase without underwriting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recommended policies contain future insurability clauses, meaning that if your circumstances change in future you can increase your cover periodically without further medical underwriting.</w:t>
            </w:r>
          </w:p>
        </w:tc>
      </w:tr>
      <w:tr>
        <w:tc>
          <w:tcPr>
            <w:tcW w:type="dxa" w:w="5256"/>
            <w:shd w:val="clear" w:fill="E5F4F6"/>
          </w:tcPr>
          <w:p>
            <w:r>
              <w:rPr>
                <w:b/>
                <w:color w:val="0C2E3F"/>
                <w:sz w:val="17"/>
              </w:rPr>
              <w:t>Summary – Outcomes line</w:t>
            </w:r>
          </w:p>
        </w:tc>
        <w:tc>
          <w:tcPr>
            <w:tcW w:type="dxa" w:w="5256"/>
          </w:tcPr>
          <w:p>
            <w:r>
              <w:rPr>
                <w:sz w:val="19"/>
              </w:rPr>
              <w:t>You can raise your cover at set life events or intervals without a new health assessment.</w:t>
            </w:r>
          </w:p>
        </w:tc>
      </w:tr>
      <w:tr>
        <w:tc>
          <w:tcPr>
            <w:tcW w:type="dxa" w:w="5256"/>
            <w:shd w:val="clear" w:fill="E5F4F6"/>
          </w:tcPr>
          <w:p>
            <w:r>
              <w:rPr>
                <w:b/>
                <w:color w:val="0C2E3F"/>
                <w:sz w:val="17"/>
              </w:rPr>
              <w:t>Why / In line with your goals (bullets)</w:t>
            </w:r>
          </w:p>
        </w:tc>
        <w:tc>
          <w:tcPr>
            <w:tcW w:type="dxa" w:w="5256"/>
          </w:tcPr>
          <w:p>
            <w:r>
              <w:rPr>
                <w:sz w:val="19"/>
              </w:rPr>
              <w:t>• This locks in your current health rating, so deterioration in your health does not block reasonable future increases within policy limits.</w:t>
            </w:r>
          </w:p>
        </w:tc>
      </w:tr>
      <w:tr>
        <w:tc>
          <w:tcPr>
            <w:tcW w:type="dxa" w:w="5256"/>
            <w:shd w:val="clear" w:fill="E5F4F6"/>
          </w:tcPr>
          <w:p>
            <w:r>
              <w:rPr>
                <w:b/>
                <w:color w:val="0C2E3F"/>
                <w:sz w:val="17"/>
              </w:rPr>
              <w:t>Risks &amp; Disadvantages (bullets)</w:t>
            </w:r>
          </w:p>
        </w:tc>
        <w:tc>
          <w:tcPr>
            <w:tcW w:type="dxa" w:w="5256"/>
          </w:tcPr>
          <w:p>
            <w:r>
              <w:rPr>
                <w:sz w:val="19"/>
              </w:rPr>
              <w:t>• Increases are limited to set amounts/intervals and have age limits; the increased benefit is still subject to claims assessment.</w:t>
            </w:r>
          </w:p>
        </w:tc>
      </w:tr>
      <w:tr>
        <w:tc>
          <w:tcPr>
            <w:tcW w:type="dxa" w:w="5256"/>
            <w:shd w:val="clear" w:fill="E5F4F6"/>
          </w:tcPr>
          <w:p>
            <w:r>
              <w:rPr>
                <w:b/>
                <w:color w:val="0C2E3F"/>
                <w:sz w:val="17"/>
              </w:rPr>
              <w:t>Alternatives (bullets)</w:t>
            </w:r>
          </w:p>
        </w:tc>
        <w:tc>
          <w:tcPr>
            <w:tcW w:type="dxa" w:w="5256"/>
          </w:tcPr>
          <w:p>
            <w:r>
              <w:rPr>
                <w:sz w:val="19"/>
              </w:rPr>
              <w:t>• Lock cover at today's level with no increase option — lower flexibility if your needs grow.</w:t>
            </w:r>
          </w:p>
        </w:tc>
      </w:tr>
    </w:tbl>
    <w:p/>
    <w:p>
      <w:pPr>
        <w:pStyle w:val="Heading2"/>
      </w:pPr>
      <w:r>
        <w:rPr>
          <w:color w:val="0C2E3F"/>
          <w:sz w:val="23"/>
        </w:rPr>
        <w:t>Own-occupation TPD definition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own occupation</w:t>
              <w:br/>
              <w:t>• own-occupation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recommended for a specialised/high-income occupation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TPD with an 'Own Occupation' definition, which is the highest level of cover.</w:t>
            </w:r>
          </w:p>
        </w:tc>
      </w:tr>
      <w:tr>
        <w:tc>
          <w:tcPr>
            <w:tcW w:type="dxa" w:w="5256"/>
            <w:shd w:val="clear" w:fill="E5F4F6"/>
          </w:tcPr>
          <w:p>
            <w:r>
              <w:rPr>
                <w:b/>
                <w:color w:val="0C2E3F"/>
                <w:sz w:val="17"/>
              </w:rPr>
              <w:t>Summary – Outcomes line</w:t>
            </w:r>
          </w:p>
        </w:tc>
        <w:tc>
          <w:tcPr>
            <w:tcW w:type="dxa" w:w="5256"/>
          </w:tcPr>
          <w:p>
            <w:r>
              <w:rPr>
                <w:sz w:val="19"/>
              </w:rPr>
              <w:t>A claim can be met if you are unable to work in your own specific occupation, rather than any occupation.</w:t>
            </w:r>
          </w:p>
        </w:tc>
      </w:tr>
      <w:tr>
        <w:tc>
          <w:tcPr>
            <w:tcW w:type="dxa" w:w="5256"/>
            <w:shd w:val="clear" w:fill="E5F4F6"/>
          </w:tcPr>
          <w:p>
            <w:r>
              <w:rPr>
                <w:b/>
                <w:color w:val="0C2E3F"/>
                <w:sz w:val="17"/>
              </w:rPr>
              <w:t>Why / In line with your goals (bullets)</w:t>
            </w:r>
          </w:p>
        </w:tc>
        <w:tc>
          <w:tcPr>
            <w:tcW w:type="dxa" w:w="5256"/>
          </w:tcPr>
          <w:p>
            <w:r>
              <w:rPr>
                <w:sz w:val="19"/>
              </w:rPr>
              <w:t>• Own-occupation cover suits a specialised or high-income role where being unable to perform that specific occupation, even if able to do another, would end your earning capacity.</w:t>
            </w:r>
          </w:p>
        </w:tc>
      </w:tr>
      <w:tr>
        <w:tc>
          <w:tcPr>
            <w:tcW w:type="dxa" w:w="5256"/>
            <w:shd w:val="clear" w:fill="E5F4F6"/>
          </w:tcPr>
          <w:p>
            <w:r>
              <w:rPr>
                <w:b/>
                <w:color w:val="0C2E3F"/>
                <w:sz w:val="17"/>
              </w:rPr>
              <w:t>Risks &amp; Disadvantages (bullets)</w:t>
            </w:r>
          </w:p>
        </w:tc>
        <w:tc>
          <w:tcPr>
            <w:tcW w:type="dxa" w:w="5256"/>
          </w:tcPr>
          <w:p>
            <w:r>
              <w:rPr>
                <w:sz w:val="19"/>
              </w:rPr>
              <w:t>• Own-occupation cover costs more than any-occupation; where linked, a claim reduces the linked cover unless a buy-back feature is added.</w:t>
            </w:r>
          </w:p>
        </w:tc>
      </w:tr>
      <w:tr>
        <w:tc>
          <w:tcPr>
            <w:tcW w:type="dxa" w:w="5256"/>
            <w:shd w:val="clear" w:fill="E5F4F6"/>
          </w:tcPr>
          <w:p>
            <w:r>
              <w:rPr>
                <w:b/>
                <w:color w:val="0C2E3F"/>
                <w:sz w:val="17"/>
              </w:rPr>
              <w:t>Alternatives (bullets)</w:t>
            </w:r>
          </w:p>
        </w:tc>
        <w:tc>
          <w:tcPr>
            <w:tcW w:type="dxa" w:w="5256"/>
          </w:tcPr>
          <w:p>
            <w:r>
              <w:rPr>
                <w:sz w:val="19"/>
              </w:rPr>
              <w:t>• Any-occupation TPD — cheaper but a narrower claim trigger (must be unable to work in any occupation suited to you).</w:t>
            </w:r>
          </w:p>
        </w:tc>
      </w:tr>
    </w:tbl>
    <w:p/>
    <w:p>
      <w:pPr>
        <w:pStyle w:val="Heading2"/>
      </w:pPr>
      <w:r>
        <w:rPr>
          <w:color w:val="0C2E3F"/>
          <w:sz w:val="23"/>
        </w:rPr>
        <w:t>Differentiate TPD definition by life stage (own-occ primary earner / any-occ spouse)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differential tpd</w:t>
              <w:br/>
              <w:t>• any occupation</w:t>
              <w:br/>
              <w:t>• own occupation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with differing work/earning situations (e.g. one on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own-occupation TPD for the primary earner and retaining any-occupation TPD for the spouse who is currently out of the workforce / on parental leave.</w:t>
            </w:r>
          </w:p>
        </w:tc>
      </w:tr>
      <w:tr>
        <w:tc>
          <w:tcPr>
            <w:tcW w:type="dxa" w:w="5256"/>
            <w:shd w:val="clear" w:fill="E5F4F6"/>
          </w:tcPr>
          <w:p>
            <w:r>
              <w:rPr>
                <w:b/>
                <w:color w:val="0C2E3F"/>
                <w:sz w:val="17"/>
              </w:rPr>
              <w:t>Summary – Outcomes line</w:t>
            </w:r>
          </w:p>
        </w:tc>
        <w:tc>
          <w:tcPr>
            <w:tcW w:type="dxa" w:w="5256"/>
          </w:tcPr>
          <w:p>
            <w:r>
              <w:rPr>
                <w:sz w:val="19"/>
              </w:rPr>
              <w:t>Cover definition is matched to each person's earning role and stage.</w:t>
            </w:r>
          </w:p>
        </w:tc>
      </w:tr>
      <w:tr>
        <w:tc>
          <w:tcPr>
            <w:tcW w:type="dxa" w:w="5256"/>
            <w:shd w:val="clear" w:fill="E5F4F6"/>
          </w:tcPr>
          <w:p>
            <w:r>
              <w:rPr>
                <w:b/>
                <w:color w:val="0C2E3F"/>
                <w:sz w:val="17"/>
              </w:rPr>
              <w:t>Why / In line with your goals (bullets)</w:t>
            </w:r>
          </w:p>
        </w:tc>
        <w:tc>
          <w:tcPr>
            <w:tcW w:type="dxa" w:w="5256"/>
          </w:tcPr>
          <w:p>
            <w:r>
              <w:rPr>
                <w:sz w:val="19"/>
              </w:rPr>
              <w:t>• The primary earner's income is concentrated in a specific occupation (own-occupation is appropriate); the spouse currently out of the workforce is adequately served by the existing any-occupation cover, which is reviewed on return to work.</w:t>
            </w:r>
          </w:p>
        </w:tc>
      </w:tr>
      <w:tr>
        <w:tc>
          <w:tcPr>
            <w:tcW w:type="dxa" w:w="5256"/>
            <w:shd w:val="clear" w:fill="E5F4F6"/>
          </w:tcPr>
          <w:p>
            <w:r>
              <w:rPr>
                <w:b/>
                <w:color w:val="0C2E3F"/>
                <w:sz w:val="17"/>
              </w:rPr>
              <w:t>Risks &amp; Disadvantages (bullets)</w:t>
            </w:r>
          </w:p>
        </w:tc>
        <w:tc>
          <w:tcPr>
            <w:tcW w:type="dxa" w:w="5256"/>
          </w:tcPr>
          <w:p>
            <w:r>
              <w:rPr>
                <w:sz w:val="19"/>
              </w:rPr>
              <w:t>• Any-occupation has a higher claim hurdle; the spouse's cover should be reviewed and potentially upgraded on return to work.</w:t>
            </w:r>
          </w:p>
        </w:tc>
      </w:tr>
      <w:tr>
        <w:tc>
          <w:tcPr>
            <w:tcW w:type="dxa" w:w="5256"/>
            <w:shd w:val="clear" w:fill="E5F4F6"/>
          </w:tcPr>
          <w:p>
            <w:r>
              <w:rPr>
                <w:b/>
                <w:color w:val="0C2E3F"/>
                <w:sz w:val="17"/>
              </w:rPr>
              <w:t>Alternatives (bullets)</w:t>
            </w:r>
          </w:p>
        </w:tc>
        <w:tc>
          <w:tcPr>
            <w:tcW w:type="dxa" w:w="5256"/>
          </w:tcPr>
          <w:p>
            <w:r>
              <w:rPr>
                <w:sz w:val="19"/>
              </w:rPr>
              <w:t>• Own-occupation for both — higher cost not warranted while the spouse is out of the workforce.</w:t>
            </w:r>
          </w:p>
        </w:tc>
      </w:tr>
    </w:tbl>
    <w:p/>
    <w:p>
      <w:pPr>
        <w:pStyle w:val="Heading2"/>
      </w:pPr>
      <w:r>
        <w:rPr>
          <w:color w:val="0C2E3F"/>
          <w:sz w:val="23"/>
        </w:rPr>
        <w:t>Trauma payout deployment (medical recovery + partner salary replacement)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trauma payout</w:t>
              <w:br/>
              <w:t>• salary replacement</w:t>
              <w:br/>
              <w:t>• medical expense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 sum insured sized to a purpose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trauma cover is sized to cover an estimated amount for medical expenses plus an amount for your partner's salary replacement while you recover (e.g. $125,000 medical + the balance for partner salary replacement).</w:t>
            </w:r>
          </w:p>
        </w:tc>
      </w:tr>
      <w:tr>
        <w:tc>
          <w:tcPr>
            <w:tcW w:type="dxa" w:w="5256"/>
            <w:shd w:val="clear" w:fill="E5F4F6"/>
          </w:tcPr>
          <w:p>
            <w:r>
              <w:rPr>
                <w:b/>
                <w:color w:val="0C2E3F"/>
                <w:sz w:val="17"/>
              </w:rPr>
              <w:t>Summary – Outcomes line</w:t>
            </w:r>
          </w:p>
        </w:tc>
        <w:tc>
          <w:tcPr>
            <w:tcW w:type="dxa" w:w="5256"/>
          </w:tcPr>
          <w:p>
            <w:r>
              <w:rPr>
                <w:sz w:val="19"/>
              </w:rPr>
              <w:t>The lump sum is explicitly sized to fund both your treatment/recovery costs and your partner's time off work to support you.</w:t>
            </w:r>
          </w:p>
        </w:tc>
      </w:tr>
      <w:tr>
        <w:tc>
          <w:tcPr>
            <w:tcW w:type="dxa" w:w="5256"/>
            <w:shd w:val="clear" w:fill="E5F4F6"/>
          </w:tcPr>
          <w:p>
            <w:r>
              <w:rPr>
                <w:b/>
                <w:color w:val="0C2E3F"/>
                <w:sz w:val="17"/>
              </w:rPr>
              <w:t>Why / In line with your goals (bullets)</w:t>
            </w:r>
          </w:p>
        </w:tc>
        <w:tc>
          <w:tcPr>
            <w:tcW w:type="dxa" w:w="5256"/>
          </w:tcPr>
          <w:p>
            <w:r>
              <w:rPr>
                <w:sz w:val="19"/>
              </w:rPr>
              <w:t>• Segmenting the trauma sum insured into medical-recovery and partner-salary-replacement components ensures the household keeps running while you recover.</w:t>
            </w:r>
          </w:p>
        </w:tc>
      </w:tr>
      <w:tr>
        <w:tc>
          <w:tcPr>
            <w:tcW w:type="dxa" w:w="5256"/>
            <w:shd w:val="clear" w:fill="E5F4F6"/>
          </w:tcPr>
          <w:p>
            <w:r>
              <w:rPr>
                <w:b/>
                <w:color w:val="0C2E3F"/>
                <w:sz w:val="17"/>
              </w:rPr>
              <w:t>Risks &amp; Disadvantages (bullets)</w:t>
            </w:r>
          </w:p>
        </w:tc>
        <w:tc>
          <w:tcPr>
            <w:tcW w:type="dxa" w:w="5256"/>
          </w:tcPr>
          <w:p>
            <w:r>
              <w:rPr>
                <w:sz w:val="19"/>
              </w:rPr>
              <w:t>• The actual split needed may differ from the estimate; 'Plus' features may cap per condition.</w:t>
            </w:r>
          </w:p>
        </w:tc>
      </w:tr>
      <w:tr>
        <w:tc>
          <w:tcPr>
            <w:tcW w:type="dxa" w:w="5256"/>
            <w:shd w:val="clear" w:fill="E5F4F6"/>
          </w:tcPr>
          <w:p>
            <w:r>
              <w:rPr>
                <w:b/>
                <w:color w:val="0C2E3F"/>
                <w:sz w:val="17"/>
              </w:rPr>
              <w:t>Alternatives (bullets)</w:t>
            </w:r>
          </w:p>
        </w:tc>
        <w:tc>
          <w:tcPr>
            <w:tcW w:type="dxa" w:w="5256"/>
          </w:tcPr>
          <w:p>
            <w:r>
              <w:rPr>
                <w:sz w:val="19"/>
              </w:rPr>
              <w:t>• Standalone trauma plus separate income protection for the partner — duplicates cost.</w:t>
            </w:r>
          </w:p>
        </w:tc>
      </w:tr>
    </w:tbl>
    <w:p/>
    <w:p>
      <w:pPr>
        <w:pStyle w:val="Heading2"/>
      </w:pPr>
      <w:r>
        <w:rPr>
          <w:color w:val="0C2E3F"/>
          <w:sz w:val="23"/>
        </w:rPr>
        <w:t>Retain cover during workforce absence (maternity / parental leave)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maternity leave</w:t>
              <w:br/>
              <w:t>• parental leave</w:t>
              <w:br/>
              <w:t>• not working</w:t>
              <w:br/>
              <w:t>• while you are not working</w:t>
              <w:br/>
              <w:t>• return to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One person temporarily out of the workforce (e.g.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tc>
      </w:tr>
      <w:tr>
        <w:tc>
          <w:tcPr>
            <w:tcW w:type="dxa" w:w="5256"/>
            <w:shd w:val="clear" w:fill="E5F4F6"/>
          </w:tcPr>
          <w:p>
            <w:r>
              <w:rPr>
                <w:b/>
                <w:color w:val="0C2E3F"/>
                <w:sz w:val="17"/>
              </w:rPr>
              <w:t>Summary – Outcomes line</w:t>
            </w:r>
          </w:p>
        </w:tc>
        <w:tc>
          <w:tcPr>
            <w:tcW w:type="dxa" w:w="5256"/>
          </w:tcPr>
          <w:p>
            <w:r>
              <w:rPr>
                <w:sz w:val="19"/>
              </w:rPr>
              <w:t>Cover continuity is preserved through the leave period without re-underwriting, and is reviewed when income normalises.</w:t>
            </w:r>
          </w:p>
        </w:tc>
      </w:tr>
      <w:tr>
        <w:tc>
          <w:tcPr>
            <w:tcW w:type="dxa" w:w="5256"/>
            <w:shd w:val="clear" w:fill="E5F4F6"/>
          </w:tcPr>
          <w:p>
            <w:r>
              <w:rPr>
                <w:b/>
                <w:color w:val="0C2E3F"/>
                <w:sz w:val="17"/>
              </w:rPr>
              <w:t>Why / In line with your goals (bullets)</w:t>
            </w:r>
          </w:p>
        </w:tc>
        <w:tc>
          <w:tcPr>
            <w:tcW w:type="dxa" w:w="5256"/>
          </w:tcPr>
          <w:p>
            <w:r>
              <w:rPr>
                <w:sz w:val="19"/>
              </w:rPr>
              <w:t>• Retaining cover during leave preserves your future insurability and avoids re-underwriting on return to work.</w:t>
              <w:br/>
              <w:t>• We are not recommending an increase in cover at this time given your cashflow while on leave; we will reassess once you have returned to work.</w:t>
            </w:r>
          </w:p>
        </w:tc>
      </w:tr>
      <w:tr>
        <w:tc>
          <w:tcPr>
            <w:tcW w:type="dxa" w:w="5256"/>
            <w:shd w:val="clear" w:fill="E5F4F6"/>
          </w:tcPr>
          <w:p>
            <w:r>
              <w:rPr>
                <w:b/>
                <w:color w:val="0C2E3F"/>
                <w:sz w:val="17"/>
              </w:rPr>
              <w:t>Risks &amp; Disadvantages (bullets)</w:t>
            </w:r>
          </w:p>
        </w:tc>
        <w:tc>
          <w:tcPr>
            <w:tcW w:type="dxa" w:w="5256"/>
          </w:tcPr>
          <w:p>
            <w:r>
              <w:rPr>
                <w:sz w:val="19"/>
              </w:rPr>
              <w:t>• You may be temporarily under-insured relative to your full needs analysis during the leave period; income protection may be limited while not earning.</w:t>
            </w:r>
          </w:p>
        </w:tc>
      </w:tr>
      <w:tr>
        <w:tc>
          <w:tcPr>
            <w:tcW w:type="dxa" w:w="5256"/>
            <w:shd w:val="clear" w:fill="E5F4F6"/>
          </w:tcPr>
          <w:p>
            <w:r>
              <w:rPr>
                <w:b/>
                <w:color w:val="0C2E3F"/>
                <w:sz w:val="17"/>
              </w:rPr>
              <w:t>Alternatives (bullets)</w:t>
            </w:r>
          </w:p>
        </w:tc>
        <w:tc>
          <w:tcPr>
            <w:tcW w:type="dxa" w:w="5256"/>
          </w:tcPr>
          <w:p>
            <w:r>
              <w:rPr>
                <w:sz w:val="19"/>
              </w:rPr>
              <w:t>• Cancel cover and re-apply on return — discounted due to re-underwriting cost, delay and the risk of a health change in the interim.</w:t>
            </w:r>
          </w:p>
        </w:tc>
      </w:tr>
    </w:tbl>
    <w:p/>
    <w:p>
      <w:pPr>
        <w:pStyle w:val="Heading2"/>
      </w:pPr>
      <w:r>
        <w:rPr>
          <w:color w:val="0C2E3F"/>
          <w:sz w:val="23"/>
        </w:rPr>
        <w:t>Retain existing cover and top up with new cover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dual layer</w:t>
              <w:br/>
              <w:t>• retain in super and apply</w:t>
              <w:br/>
              <w:t>• layer new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Transitional period (e.g. workforce re-entry) where flexibility is wanted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cover and top up with new recommended cover.</w:t>
            </w:r>
          </w:p>
        </w:tc>
      </w:tr>
      <w:tr>
        <w:tc>
          <w:tcPr>
            <w:tcW w:type="dxa" w:w="5256"/>
            <w:shd w:val="clear" w:fill="E5F4F6"/>
          </w:tcPr>
          <w:p>
            <w:r>
              <w:rPr>
                <w:b/>
                <w:color w:val="0C2E3F"/>
                <w:sz w:val="17"/>
              </w:rPr>
              <w:t>Summary – Outcomes line</w:t>
            </w:r>
          </w:p>
        </w:tc>
        <w:tc>
          <w:tcPr>
            <w:tcW w:type="dxa" w:w="5256"/>
          </w:tcPr>
          <w:p>
            <w:r>
              <w:rPr>
                <w:sz w:val="19"/>
              </w:rPr>
              <w:t>You keep tax-effective in-super cover while adding flexible personal cover that can be adjusted later.</w:t>
            </w:r>
          </w:p>
        </w:tc>
      </w:tr>
      <w:tr>
        <w:tc>
          <w:tcPr>
            <w:tcW w:type="dxa" w:w="5256"/>
            <w:shd w:val="clear" w:fill="E5F4F6"/>
          </w:tcPr>
          <w:p>
            <w:r>
              <w:rPr>
                <w:b/>
                <w:color w:val="0C2E3F"/>
                <w:sz w:val="17"/>
              </w:rPr>
              <w:t>Why / In line with your goals (bullets)</w:t>
            </w:r>
          </w:p>
        </w:tc>
        <w:tc>
          <w:tcPr>
            <w:tcW w:type="dxa" w:w="5256"/>
          </w:tcPr>
          <w:p>
            <w:r>
              <w:rPr>
                <w:sz w:val="19"/>
              </w:rPr>
              <w:t>• A small in-super retention is 'sticky' and tax-effective; the additional personal cover maintains optionality during a transitional period.</w:t>
            </w:r>
          </w:p>
        </w:tc>
      </w:tr>
      <w:tr>
        <w:tc>
          <w:tcPr>
            <w:tcW w:type="dxa" w:w="5256"/>
            <w:shd w:val="clear" w:fill="E5F4F6"/>
          </w:tcPr>
          <w:p>
            <w:r>
              <w:rPr>
                <w:b/>
                <w:color w:val="0C2E3F"/>
                <w:sz w:val="17"/>
              </w:rPr>
              <w:t>Risks &amp; Disadvantages (bullets)</w:t>
            </w:r>
          </w:p>
        </w:tc>
        <w:tc>
          <w:tcPr>
            <w:tcW w:type="dxa" w:w="5256"/>
          </w:tcPr>
          <w:p>
            <w:r>
              <w:rPr>
                <w:sz w:val="19"/>
              </w:rPr>
              <w:t>• Two policies mean more administration; the new cover must remain affordable after your circumstances settle.</w:t>
            </w:r>
          </w:p>
        </w:tc>
      </w:tr>
      <w:tr>
        <w:tc>
          <w:tcPr>
            <w:tcW w:type="dxa" w:w="5256"/>
            <w:shd w:val="clear" w:fill="E5F4F6"/>
          </w:tcPr>
          <w:p>
            <w:r>
              <w:rPr>
                <w:b/>
                <w:color w:val="0C2E3F"/>
                <w:sz w:val="17"/>
              </w:rPr>
              <w:t>Alternatives (bullets)</w:t>
            </w:r>
          </w:p>
        </w:tc>
        <w:tc>
          <w:tcPr>
            <w:tcW w:type="dxa" w:w="5256"/>
          </w:tcPr>
          <w:p>
            <w:r>
              <w:rPr>
                <w:sz w:val="19"/>
              </w:rPr>
              <w:t>• All new cover inside super — simpler but less flexible and locks in super deductions.</w:t>
            </w:r>
          </w:p>
        </w:tc>
      </w:tr>
    </w:tbl>
    <w:p/>
    <w:p>
      <w:pPr>
        <w:pStyle w:val="Heading2"/>
      </w:pPr>
      <w:r>
        <w:rPr>
          <w:color w:val="0C2E3F"/>
          <w:sz w:val="23"/>
        </w:rPr>
        <w:t>Cancel cover no longer required (age + debt-free + income-replacement redundant)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cancel cover</w:t>
              <w:br/>
              <w:t>• no longer require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Approaching/at retirement, debt cleared, no income to protect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tc>
      </w:tr>
      <w:tr>
        <w:tc>
          <w:tcPr>
            <w:tcW w:type="dxa" w:w="5256"/>
            <w:shd w:val="clear" w:fill="E5F4F6"/>
          </w:tcPr>
          <w:p>
            <w:r>
              <w:rPr>
                <w:b/>
                <w:color w:val="0C2E3F"/>
                <w:sz w:val="17"/>
              </w:rPr>
              <w:t>Summary – Outcomes line</w:t>
            </w:r>
          </w:p>
        </w:tc>
        <w:tc>
          <w:tcPr>
            <w:tcW w:type="dxa" w:w="5256"/>
          </w:tcPr>
          <w:p>
            <w:r>
              <w:rPr>
                <w:sz w:val="19"/>
              </w:rPr>
              <w:t>Premiums no longer erode your balance once cover is no longer needed.</w:t>
            </w:r>
          </w:p>
        </w:tc>
      </w:tr>
      <w:tr>
        <w:tc>
          <w:tcPr>
            <w:tcW w:type="dxa" w:w="5256"/>
            <w:shd w:val="clear" w:fill="E5F4F6"/>
          </w:tcPr>
          <w:p>
            <w:r>
              <w:rPr>
                <w:b/>
                <w:color w:val="0C2E3F"/>
                <w:sz w:val="17"/>
              </w:rPr>
              <w:t>Why / In line with your goals (bullets)</w:t>
            </w:r>
          </w:p>
        </w:tc>
        <w:tc>
          <w:tcPr>
            <w:tcW w:type="dxa" w:w="5256"/>
          </w:tcPr>
          <w:p>
            <w:r>
              <w:rPr>
                <w:sz w:val="19"/>
              </w:rPr>
              <w:t>• With no debt, no dependants relying on your income, and retirement income in place, personal insurance is no longer required, and cancelling it preserves your capital.</w:t>
            </w:r>
          </w:p>
        </w:tc>
      </w:tr>
      <w:tr>
        <w:tc>
          <w:tcPr>
            <w:tcW w:type="dxa" w:w="5256"/>
            <w:shd w:val="clear" w:fill="E5F4F6"/>
          </w:tcPr>
          <w:p>
            <w:r>
              <w:rPr>
                <w:b/>
                <w:color w:val="0C2E3F"/>
                <w:sz w:val="17"/>
              </w:rPr>
              <w:t>Risks &amp; Disadvantages (bullets)</w:t>
            </w:r>
          </w:p>
        </w:tc>
        <w:tc>
          <w:tcPr>
            <w:tcW w:type="dxa" w:w="5256"/>
          </w:tcPr>
          <w:p>
            <w:r>
              <w:rPr>
                <w:sz w:val="19"/>
              </w:rPr>
              <w:t>• If your circumstances change (e.g. new dependants), you may be unable to re-acquire cover at the same rates; ensure cover is genuinely no longer needed before cancelling.</w:t>
            </w:r>
          </w:p>
        </w:tc>
      </w:tr>
      <w:tr>
        <w:tc>
          <w:tcPr>
            <w:tcW w:type="dxa" w:w="5256"/>
            <w:shd w:val="clear" w:fill="E5F4F6"/>
          </w:tcPr>
          <w:p>
            <w:r>
              <w:rPr>
                <w:b/>
                <w:color w:val="0C2E3F"/>
                <w:sz w:val="17"/>
              </w:rPr>
              <w:t>Alternatives (bullets)</w:t>
            </w:r>
          </w:p>
        </w:tc>
        <w:tc>
          <w:tcPr>
            <w:tcW w:type="dxa" w:w="5256"/>
          </w:tcPr>
          <w:p>
            <w:r>
              <w:rPr>
                <w:sz w:val="19"/>
              </w:rPr>
              <w:t>• Retain partial cover via a partial rollover — discounted as it leaves more than one super account and ongoing premiums for cover you no longer require.</w:t>
            </w:r>
          </w:p>
        </w:tc>
      </w:tr>
    </w:tbl>
    <w:p/>
    <w:p>
      <w:pPr>
        <w:pStyle w:val="Heading2"/>
      </w:pPr>
      <w:r>
        <w:rPr>
          <w:color w:val="0C2E3F"/>
          <w:sz w:val="23"/>
        </w:rPr>
        <w:t>Dual income protection — retail top-up over employer/industry cover (offset benefit)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two income protection policies</w:t>
              <w:br/>
              <w:t>• top up cover</w:t>
              <w:br/>
              <w:t>• dual ip</w:t>
              <w:br/>
              <w:t>• offset benefit</w:t>
              <w:br/>
              <w:t>• employer ip plus retail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employer/industry-fund IP retained, with a retail policy added to top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tc>
      </w:tr>
      <w:tr>
        <w:tc>
          <w:tcPr>
            <w:tcW w:type="dxa" w:w="5256"/>
            <w:shd w:val="clear" w:fill="E5F4F6"/>
          </w:tcPr>
          <w:p>
            <w:r>
              <w:rPr>
                <w:b/>
                <w:color w:val="0C2E3F"/>
                <w:sz w:val="17"/>
              </w:rPr>
              <w:t>Summary – Outcomes line</w:t>
            </w:r>
          </w:p>
        </w:tc>
        <w:tc>
          <w:tcPr>
            <w:tcW w:type="dxa" w:w="5256"/>
          </w:tcPr>
          <w:p>
            <w:r>
              <w:rPr>
                <w:sz w:val="19"/>
              </w:rPr>
              <w:t>Your total income protection reaches ~70% of income at the lowest cost, by topping up rather than duplicating existing cover.</w:t>
            </w:r>
          </w:p>
        </w:tc>
      </w:tr>
      <w:tr>
        <w:tc>
          <w:tcPr>
            <w:tcW w:type="dxa" w:w="5256"/>
            <w:shd w:val="clear" w:fill="E5F4F6"/>
          </w:tcPr>
          <w:p>
            <w:r>
              <w:rPr>
                <w:b/>
                <w:color w:val="0C2E3F"/>
                <w:sz w:val="17"/>
              </w:rPr>
              <w:t>Why / In line with your goals (bullets)</w:t>
            </w:r>
          </w:p>
        </w:tc>
        <w:tc>
          <w:tcPr>
            <w:tcW w:type="dxa" w:w="5256"/>
          </w:tcPr>
          <w:p>
            <w:r>
              <w:rPr>
                <w:sz w:val="19"/>
              </w:rPr>
              <w:t>• Retaining the existing fund cover and topping it up is cheaper than replacing it entirely.</w:t>
              <w:br/>
              <w:t>• Where the existing cover has no pre-existing medical exclusions, keeping it means a condition excluded on the new retail policy may still be claimable under the retained cover.</w:t>
            </w:r>
          </w:p>
        </w:tc>
      </w:tr>
      <w:tr>
        <w:tc>
          <w:tcPr>
            <w:tcW w:type="dxa" w:w="5256"/>
            <w:shd w:val="clear" w:fill="E5F4F6"/>
          </w:tcPr>
          <w:p>
            <w:r>
              <w:rPr>
                <w:b/>
                <w:color w:val="0C2E3F"/>
                <w:sz w:val="17"/>
              </w:rPr>
              <w:t>Risks &amp; Disadvantages (bullets)</w:t>
            </w:r>
          </w:p>
        </w:tc>
        <w:tc>
          <w:tcPr>
            <w:tcW w:type="dxa" w:w="5256"/>
          </w:tcPr>
          <w:p>
            <w:r>
              <w:rPr>
                <w:sz w:val="19"/>
              </w:rPr>
              <w:t>• The two policies overlap and benefits offset — you cannot stack both to exceed the insured percentage; coordination is required at claim time.</w:t>
            </w:r>
          </w:p>
        </w:tc>
      </w:tr>
      <w:tr>
        <w:tc>
          <w:tcPr>
            <w:tcW w:type="dxa" w:w="5256"/>
            <w:shd w:val="clear" w:fill="E5F4F6"/>
          </w:tcPr>
          <w:p>
            <w:r>
              <w:rPr>
                <w:b/>
                <w:color w:val="0C2E3F"/>
                <w:sz w:val="17"/>
              </w:rPr>
              <w:t>Alternatives (bullets)</w:t>
            </w:r>
          </w:p>
        </w:tc>
        <w:tc>
          <w:tcPr>
            <w:tcW w:type="dxa" w:w="5256"/>
          </w:tcPr>
          <w:p>
            <w:r>
              <w:rPr>
                <w:sz w:val="19"/>
              </w:rPr>
              <w:t>• Single standalone retail policy — simpler but more expensive and forfeits the no-exclusions benefit of the retained cover.</w:t>
            </w:r>
          </w:p>
        </w:tc>
      </w:tr>
    </w:tbl>
    <w:p/>
    <w:p>
      <w:pPr>
        <w:pStyle w:val="Heading2"/>
      </w:pPr>
      <w:r>
        <w:rPr>
          <w:color w:val="0C2E3F"/>
          <w:sz w:val="23"/>
        </w:rPr>
        <w:t>Occupation pre-assessment / high-risk occupation constraint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occupation pre-assessment</w:t>
              <w:br/>
              <w:t>• high risk occupation</w:t>
              <w:br/>
              <w:t>• manual labour</w:t>
              <w:br/>
              <w:t>• heavy machinery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in a high-risk / manual occupation affecting insurability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tc>
      </w:tr>
      <w:tr>
        <w:tc>
          <w:tcPr>
            <w:tcW w:type="dxa" w:w="5256"/>
            <w:shd w:val="clear" w:fill="E5F4F6"/>
          </w:tcPr>
          <w:p>
            <w:r>
              <w:rPr>
                <w:b/>
                <w:color w:val="0C2E3F"/>
                <w:sz w:val="17"/>
              </w:rPr>
              <w:t>Summary – Outcomes line</w:t>
            </w:r>
          </w:p>
        </w:tc>
        <w:tc>
          <w:tcPr>
            <w:tcW w:type="dxa" w:w="5256"/>
          </w:tcPr>
          <w:p>
            <w:r>
              <w:rPr>
                <w:sz w:val="19"/>
              </w:rPr>
              <w:t>Your cover is placed with the insurer that will offer the fullest terms for your occupation, within the caps your occupation imposes.</w:t>
            </w:r>
          </w:p>
        </w:tc>
      </w:tr>
      <w:tr>
        <w:tc>
          <w:tcPr>
            <w:tcW w:type="dxa" w:w="5256"/>
            <w:shd w:val="clear" w:fill="E5F4F6"/>
          </w:tcPr>
          <w:p>
            <w:r>
              <w:rPr>
                <w:b/>
                <w:color w:val="0C2E3F"/>
                <w:sz w:val="17"/>
              </w:rPr>
              <w:t>Why / In line with your goals (bullets)</w:t>
            </w:r>
          </w:p>
        </w:tc>
        <w:tc>
          <w:tcPr>
            <w:tcW w:type="dxa" w:w="5256"/>
          </w:tcPr>
          <w:p>
            <w:r>
              <w:rPr>
                <w:sz w:val="19"/>
              </w:rPr>
              <w:t>• High-risk occupations restrict insurer and product choice; a pre-assessment identifies the insurer offering the best available terms before you apply.</w:t>
            </w:r>
          </w:p>
        </w:tc>
      </w:tr>
      <w:tr>
        <w:tc>
          <w:tcPr>
            <w:tcW w:type="dxa" w:w="5256"/>
            <w:shd w:val="clear" w:fill="E5F4F6"/>
          </w:tcPr>
          <w:p>
            <w:r>
              <w:rPr>
                <w:b/>
                <w:color w:val="0C2E3F"/>
                <w:sz w:val="17"/>
              </w:rPr>
              <w:t>Risks &amp; Disadvantages (bullets)</w:t>
            </w:r>
          </w:p>
        </w:tc>
        <w:tc>
          <w:tcPr>
            <w:tcW w:type="dxa" w:w="5256"/>
          </w:tcPr>
          <w:p>
            <w:r>
              <w:rPr>
                <w:sz w:val="19"/>
              </w:rPr>
              <w:t>• Occupational caps may leave cover below your full needs (e.g. limited benefit period or monthly cap); review if you change occupation.</w:t>
            </w:r>
          </w:p>
        </w:tc>
      </w:tr>
      <w:tr>
        <w:tc>
          <w:tcPr>
            <w:tcW w:type="dxa" w:w="5256"/>
            <w:shd w:val="clear" w:fill="E5F4F6"/>
          </w:tcPr>
          <w:p>
            <w:r>
              <w:rPr>
                <w:b/>
                <w:color w:val="0C2E3F"/>
                <w:sz w:val="17"/>
              </w:rPr>
              <w:t>Alternatives (bullets)</w:t>
            </w:r>
          </w:p>
        </w:tc>
        <w:tc>
          <w:tcPr>
            <w:tcW w:type="dxa" w:w="5256"/>
          </w:tcPr>
          <w:p>
            <w:r>
              <w:rPr>
                <w:sz w:val="19"/>
              </w:rPr>
              <w:t>• Apply to a standard insurer — discounted as cover may be declined, loaded, or offered only with a reduced benefit period for your occupation.</w:t>
            </w:r>
          </w:p>
        </w:tc>
      </w:tr>
    </w:tbl>
    <w:p/>
    <w:p>
      <w:pPr>
        <w:pStyle w:val="Heading2"/>
      </w:pPr>
      <w:r>
        <w:rPr>
          <w:color w:val="0C2E3F"/>
          <w:sz w:val="23"/>
        </w:rPr>
        <w:t>Size TPD sum insured with a super-tax uplift (gross-up if claimed in super)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22% uplift</w:t>
              <w:br/>
              <w:t>• tax uplift</w:t>
              <w:br/>
              <w:t>• gross up tpd</w:t>
              <w:br/>
              <w:t>• super tax 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held inside super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The TPD sum insured is set to cover your identified needs plus an uplift (e.g. 22%) to cover the tax liability that would apply should you claim while the cover is held inside your superannuation fund.</w:t>
            </w:r>
          </w:p>
        </w:tc>
      </w:tr>
      <w:tr>
        <w:tc>
          <w:tcPr>
            <w:tcW w:type="dxa" w:w="5256"/>
            <w:shd w:val="clear" w:fill="E5F4F6"/>
          </w:tcPr>
          <w:p>
            <w:r>
              <w:rPr>
                <w:b/>
                <w:color w:val="0C2E3F"/>
                <w:sz w:val="17"/>
              </w:rPr>
              <w:t>Summary – Outcomes line</w:t>
            </w:r>
          </w:p>
        </w:tc>
        <w:tc>
          <w:tcPr>
            <w:tcW w:type="dxa" w:w="5256"/>
          </w:tcPr>
          <w:p>
            <w:r>
              <w:rPr>
                <w:sz w:val="19"/>
              </w:rPr>
              <w:t>If you claim, the after-tax benefit still meets your identified needs because the sum insured was grossed up for the super tax.</w:t>
            </w:r>
          </w:p>
        </w:tc>
      </w:tr>
      <w:tr>
        <w:tc>
          <w:tcPr>
            <w:tcW w:type="dxa" w:w="5256"/>
            <w:shd w:val="clear" w:fill="E5F4F6"/>
          </w:tcPr>
          <w:p>
            <w:r>
              <w:rPr>
                <w:b/>
                <w:color w:val="0C2E3F"/>
                <w:sz w:val="17"/>
              </w:rPr>
              <w:t>Why / In line with your goals (bullets)</w:t>
            </w:r>
          </w:p>
        </w:tc>
        <w:tc>
          <w:tcPr>
            <w:tcW w:type="dxa" w:w="5256"/>
          </w:tcPr>
          <w:p>
            <w:r>
              <w:rPr>
                <w:sz w:val="19"/>
              </w:rPr>
              <w:t>• A TPD benefit paid from super to a member under preservation age is taxed; grossing up the sum insured ensures the net benefit covers debts, costs and school fees as intended.</w:t>
            </w:r>
          </w:p>
        </w:tc>
      </w:tr>
      <w:tr>
        <w:tc>
          <w:tcPr>
            <w:tcW w:type="dxa" w:w="5256"/>
            <w:shd w:val="clear" w:fill="E5F4F6"/>
          </w:tcPr>
          <w:p>
            <w:r>
              <w:rPr>
                <w:b/>
                <w:color w:val="0C2E3F"/>
                <w:sz w:val="17"/>
              </w:rPr>
              <w:t>Risks &amp; Disadvantages (bullets)</w:t>
            </w:r>
          </w:p>
        </w:tc>
        <w:tc>
          <w:tcPr>
            <w:tcW w:type="dxa" w:w="5256"/>
          </w:tcPr>
          <w:p>
            <w:r>
              <w:rPr>
                <w:sz w:val="19"/>
              </w:rPr>
              <w:t>• If tax rates change the uplift may over- or under-compensate; the extra cover carries a small additional premium; if cover were held outside super this tax would not apply.</w:t>
            </w:r>
          </w:p>
        </w:tc>
      </w:tr>
      <w:tr>
        <w:tc>
          <w:tcPr>
            <w:tcW w:type="dxa" w:w="5256"/>
            <w:shd w:val="clear" w:fill="E5F4F6"/>
          </w:tcPr>
          <w:p>
            <w:r>
              <w:rPr>
                <w:b/>
                <w:color w:val="0C2E3F"/>
                <w:sz w:val="17"/>
              </w:rPr>
              <w:t>Alternatives (bullets)</w:t>
            </w:r>
          </w:p>
        </w:tc>
        <w:tc>
          <w:tcPr>
            <w:tcW w:type="dxa" w:w="5256"/>
          </w:tcPr>
          <w:p>
            <w:r>
              <w:rPr>
                <w:sz w:val="19"/>
              </w:rPr>
              <w:t>• Hold TPD outside super (no benefits tax, but premiums are not funded from super) or take cover without the uplift (net benefit reduced by tax).</w:t>
            </w:r>
          </w:p>
        </w:tc>
      </w:tr>
    </w:tbl>
    <w:p/>
    <w:p>
      <w:pPr>
        <w:pStyle w:val="Heading2"/>
      </w:pPr>
      <w:r>
        <w:rPr>
          <w:color w:val="0C2E3F"/>
          <w:sz w:val="23"/>
        </w:rPr>
        <w:t>Income Protection affordability structuring — waiting &amp; benefit period calibrated to cash/leave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90 day wait</w:t>
              <w:br/>
              <w:t>• waiting period</w:t>
              <w:br/>
              <w:t>• benefit period</w:t>
              <w:br/>
              <w:t>• cash and leave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being structured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tc>
      </w:tr>
      <w:tr>
        <w:tc>
          <w:tcPr>
            <w:tcW w:type="dxa" w:w="5256"/>
            <w:shd w:val="clear" w:fill="E5F4F6"/>
          </w:tcPr>
          <w:p>
            <w:r>
              <w:rPr>
                <w:b/>
                <w:color w:val="0C2E3F"/>
                <w:sz w:val="17"/>
              </w:rPr>
              <w:t>Summary – Outcomes line</w:t>
            </w:r>
          </w:p>
        </w:tc>
        <w:tc>
          <w:tcPr>
            <w:tcW w:type="dxa" w:w="5256"/>
          </w:tcPr>
          <w:p>
            <w:r>
              <w:rPr>
                <w:sz w:val="19"/>
              </w:rPr>
              <w:t>Your income protection cost is minimised by matching the waiting and benefit periods to the reserves you already hold.</w:t>
            </w:r>
          </w:p>
        </w:tc>
      </w:tr>
      <w:tr>
        <w:tc>
          <w:tcPr>
            <w:tcW w:type="dxa" w:w="5256"/>
            <w:shd w:val="clear" w:fill="E5F4F6"/>
          </w:tcPr>
          <w:p>
            <w:r>
              <w:rPr>
                <w:b/>
                <w:color w:val="0C2E3F"/>
                <w:sz w:val="17"/>
              </w:rPr>
              <w:t>Why / In line with your goals (bullets)</w:t>
            </w:r>
          </w:p>
        </w:tc>
        <w:tc>
          <w:tcPr>
            <w:tcW w:type="dxa" w:w="5256"/>
          </w:tcPr>
          <w:p>
            <w:r>
              <w:rPr>
                <w:sz w:val="19"/>
              </w:rPr>
              <w:t>• A longer waiting period and/or shorter benefit period lowers the premium; this is appropriate where you hold sufficient cash and leave to self-fund the gap.</w:t>
            </w:r>
          </w:p>
        </w:tc>
      </w:tr>
      <w:tr>
        <w:tc>
          <w:tcPr>
            <w:tcW w:type="dxa" w:w="5256"/>
            <w:shd w:val="clear" w:fill="E5F4F6"/>
          </w:tcPr>
          <w:p>
            <w:r>
              <w:rPr>
                <w:b/>
                <w:color w:val="0C2E3F"/>
                <w:sz w:val="17"/>
              </w:rPr>
              <w:t>Risks &amp; Disadvantages (bullets)</w:t>
            </w:r>
          </w:p>
        </w:tc>
        <w:tc>
          <w:tcPr>
            <w:tcW w:type="dxa" w:w="5256"/>
          </w:tcPr>
          <w:p>
            <w:r>
              <w:rPr>
                <w:sz w:val="19"/>
              </w:rPr>
              <w:t>• A longer wait or shorter benefit period leaves you self-funding longer — vulnerable if your cash/leave is depleted (e.g. redundancy alongside disability) or a disability extends beyond the benefit period.</w:t>
            </w:r>
          </w:p>
        </w:tc>
      </w:tr>
      <w:tr>
        <w:tc>
          <w:tcPr>
            <w:tcW w:type="dxa" w:w="5256"/>
            <w:shd w:val="clear" w:fill="E5F4F6"/>
          </w:tcPr>
          <w:p>
            <w:r>
              <w:rPr>
                <w:b/>
                <w:color w:val="0C2E3F"/>
                <w:sz w:val="17"/>
              </w:rPr>
              <w:t>Alternatives (bullets)</w:t>
            </w:r>
          </w:p>
        </w:tc>
        <w:tc>
          <w:tcPr>
            <w:tcW w:type="dxa" w:w="5256"/>
          </w:tcPr>
          <w:p>
            <w:r>
              <w:rPr>
                <w:sz w:val="19"/>
              </w:rPr>
              <w:t>• Shorter waiting period (e.g. 30 days) and/or benefit period to age 65 — maximum security at a higher premium.</w:t>
            </w:r>
          </w:p>
        </w:tc>
      </w:tr>
    </w:tbl>
    <w:p/>
    <w:p>
      <w:pPr>
        <w:pStyle w:val="Heading2"/>
      </w:pPr>
      <w:r>
        <w:rPr>
          <w:color w:val="0C2E3F"/>
          <w:sz w:val="23"/>
        </w:rPr>
        <w:t>Retain, alter and/or cancel a mix of existing covers (retain X / cancel Y / alter Z)</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retain and alter</w:t>
              <w:br/>
              <w:t>• retain cancel alter</w:t>
              <w:br/>
              <w:t>• alter existing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[cover X], cancel [cover Y] and alter [cover Z] across your existing policies as set out below.</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Tailors your existing cover to current needs without wholesale replacement.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Any-occupation TPD definition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any occupation tpd</w:t>
              <w:br/>
              <w:t>• any-occupation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an Any-Occupation definition.</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Any-Occupation is more affordable than Own-Occupation; appropriate where own-occupation is not available or not warranted.</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Non-occupational / homemaker TPD definition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non occupational tpd</w:t>
              <w:br/>
              <w:t>• homemaker tpd</w:t>
              <w:br/>
              <w:t>• non-working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 Non-Occupational (homemaker) definition, appropriate as you are not currently in the workforce.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Provides TPD protection for a non-working person where occupation-based definitions don't apply.</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Transfer existing cover to the recommended platform via takeover terms + top up with new cover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takeover terms</w:t>
              <w:br/>
              <w:t>• transfer insurance takeover</w:t>
              <w:br/>
              <w:t>• industry insurance to hub24</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transferring your existing [industry-fund] cover to the recommended platform via takeover terms, and topping up with new recommended cover through the product insurer.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Takeover terms preserve your existing cover (and avoid new exclusions identified at pre-assessment) while the top-up provides the additional cover you need.</w:t>
            </w:r>
          </w:p>
        </w:tc>
      </w:tr>
      <w:tr>
        <w:tc>
          <w:tcPr>
            <w:tcW w:type="dxa" w:w="5256"/>
            <w:shd w:val="clear" w:fill="E5F4F6"/>
          </w:tcPr>
          <w:p>
            <w:r>
              <w:rPr>
                <w:b/>
                <w:color w:val="0C2E3F"/>
                <w:sz w:val="17"/>
              </w:rPr>
              <w:t>Risks &amp; Disadvantages (bullets)</w:t>
            </w:r>
          </w:p>
        </w:tc>
        <w:tc>
          <w:tcPr>
            <w:tcW w:type="dxa" w:w="5256"/>
          </w:tcPr>
          <w:p>
            <w:r>
              <w:rPr>
                <w:sz w:val="19"/>
              </w:rPr>
              <w:t>• Takeover terms have conditions; the new top-up cover is separately underwritten and may carry exclusions or loadings.</w:t>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Pre-assessment factors (smoker / health / pastimes) affecting terms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pre-assessment</w:t>
              <w:br/>
              <w:t>• preassessment</w:t>
              <w:br/>
              <w:t>• smoker</w:t>
              <w:br/>
              <w:t>• dangerous pastime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based on pre-assessment of your [smoker status / health / pastimes], the recommended insurer offers the best available terms; cover may be subject to loadings or exclusions.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1"/>
      </w:pPr>
      <w:r>
        <w:rPr>
          <w:color w:val="1F6FEB"/>
          <w:sz w:val="30"/>
        </w:rPr>
        <w:t>8 · Cashflow Management &amp; Budgeting</w:t>
      </w:r>
    </w:p>
    <w:p>
      <w:r>
        <w:rPr>
          <w:i/>
          <w:color w:val="5B6B76"/>
          <w:sz w:val="18"/>
        </w:rPr>
        <w:t>MCMA and surplus‑direction wording is verbatim from your SOAs.</w:t>
      </w:r>
    </w:p>
    <w:p>
      <w:pPr>
        <w:pStyle w:val="Heading2"/>
      </w:pPr>
      <w:r>
        <w:rPr>
          <w:color w:val="0C2E3F"/>
          <w:sz w:val="23"/>
        </w:rPr>
        <w:t>Establish an MCMA / cash hub</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p>
      <w:pPr>
        <w:pStyle w:val="Heading2"/>
      </w:pPr>
      <w:r>
        <w:rPr>
          <w:color w:val="0C2E3F"/>
          <w:sz w:val="23"/>
        </w:rPr>
        <w:t>Direct surplus income to offset / savings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surplus to savings</w:t>
              <w:br/>
              <w:t>• surplus income to offset</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surplus income of $___ to your offset / savings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Direct tax savings to offset / savings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tax savings to savings</w:t>
              <w:br/>
              <w:t>• tax savings to offset</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tax savings of $___ to your offset / savings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Budget / spending plan recommendation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tracking</w:t>
              <w:br/>
              <w:t>• automated budgeting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use the automated budgeting system within the My Wealth Portal to track your spending and align your cashflow with your goals (and, in retirement, your pension drawdowns).</w:t>
            </w:r>
          </w:p>
        </w:tc>
      </w:tr>
      <w:tr>
        <w:tc>
          <w:tcPr>
            <w:tcW w:type="dxa" w:w="5256"/>
            <w:shd w:val="clear" w:fill="E5F4F6"/>
          </w:tcPr>
          <w:p>
            <w:r>
              <w:rPr>
                <w:b/>
                <w:color w:val="0C2E3F"/>
                <w:sz w:val="17"/>
              </w:rPr>
              <w:t>Summary – Outcomes line</w:t>
            </w:r>
          </w:p>
        </w:tc>
        <w:tc>
          <w:tcPr>
            <w:tcW w:type="dxa" w:w="5256"/>
          </w:tcPr>
          <w:p>
            <w:r>
              <w:rPr>
                <w:sz w:val="19"/>
              </w:rPr>
              <w:t>You gain clarity over spending and keep your cashflow aligned to your plan using the portal's automated budgeting tools.</w:t>
            </w:r>
          </w:p>
        </w:tc>
      </w:tr>
      <w:tr>
        <w:tc>
          <w:tcPr>
            <w:tcW w:type="dxa" w:w="5256"/>
            <w:shd w:val="clear" w:fill="E5F4F6"/>
          </w:tcPr>
          <w:p>
            <w:r>
              <w:rPr>
                <w:b/>
                <w:color w:val="0C2E3F"/>
                <w:sz w:val="17"/>
              </w:rPr>
              <w:t>Why / In line with your goals (bullets)</w:t>
            </w:r>
          </w:p>
        </w:tc>
        <w:tc>
          <w:tcPr>
            <w:tcW w:type="dxa" w:w="5256"/>
          </w:tcPr>
          <w:p>
            <w:r>
              <w:rPr>
                <w:sz w:val="19"/>
              </w:rPr>
              <w:t>• The My Wealth Portal's automated budgeting provides the clarity to take control of your cashflow and ensure spending stays aligned with your income and goals.</w:t>
            </w:r>
          </w:p>
        </w:tc>
      </w:tr>
      <w:tr>
        <w:tc>
          <w:tcPr>
            <w:tcW w:type="dxa" w:w="5256"/>
            <w:shd w:val="clear" w:fill="E5F4F6"/>
          </w:tcPr>
          <w:p>
            <w:r>
              <w:rPr>
                <w:b/>
                <w:color w:val="0C2E3F"/>
                <w:sz w:val="17"/>
              </w:rPr>
              <w:t>Risks &amp; Disadvantages (bullets)</w:t>
            </w:r>
          </w:p>
        </w:tc>
        <w:tc>
          <w:tcPr>
            <w:tcW w:type="dxa" w:w="5256"/>
          </w:tcPr>
          <w:p>
            <w:r>
              <w:rPr>
                <w:sz w:val="19"/>
              </w:rPr>
              <w:t>• The tool supports but does not replace disciplined spending decisions.</w:t>
            </w:r>
          </w:p>
        </w:tc>
      </w:tr>
      <w:tr>
        <w:tc>
          <w:tcPr>
            <w:tcW w:type="dxa" w:w="5256"/>
            <w:shd w:val="clear" w:fill="E5F4F6"/>
          </w:tcPr>
          <w:p>
            <w:r>
              <w:rPr>
                <w:b/>
                <w:color w:val="0C2E3F"/>
                <w:sz w:val="17"/>
              </w:rPr>
              <w:t>Alternatives (bullets)</w:t>
            </w:r>
          </w:p>
        </w:tc>
        <w:tc>
          <w:tcPr>
            <w:tcW w:type="dxa" w:w="5256"/>
          </w:tcPr>
          <w:p>
            <w:r>
              <w:rPr>
                <w:sz w:val="19"/>
              </w:rPr>
              <w:t>• Manual budgeting/spreadsheet tracking — discounted as it is more effort and less consistent than the automated portal.</w:t>
            </w:r>
          </w:p>
        </w:tc>
      </w:tr>
    </w:tbl>
    <w:p/>
    <w:p>
      <w:pPr>
        <w:pStyle w:val="Heading2"/>
      </w:pPr>
      <w:r>
        <w:rPr>
          <w:color w:val="0C2E3F"/>
          <w:sz w:val="23"/>
        </w:rPr>
        <w:t>Direct ongoing plan costs to the MCMA — broken down (insurance / investments / advice fee)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ongoing plan costs to mcma</w:t>
              <w:br/>
              <w:t>• mcma costs breakdown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total $___ pw, split by component</w:t>
            </w:r>
          </w:p>
        </w:tc>
      </w:tr>
      <w:tr>
        <w:tc>
          <w:tcPr>
            <w:tcW w:type="dxa" w:w="5256"/>
            <w:shd w:val="clear" w:fill="E5F4F6"/>
          </w:tcPr>
          <w:p>
            <w:r>
              <w:rPr>
                <w:b/>
                <w:color w:val="0C2E3F"/>
                <w:sz w:val="17"/>
              </w:rPr>
              <w:t>Summary – Strategies line</w:t>
            </w:r>
          </w:p>
        </w:tc>
        <w:tc>
          <w:tcPr>
            <w:tcW w:type="dxa" w:w="5256"/>
          </w:tcPr>
          <w:p>
            <w:r>
              <w:rPr>
                <w:sz w:val="19"/>
              </w:rPr>
              <w:t>We recommend you direct your ongoing plan costs to the MCMA — $___ per week — comprising insurance $___, investments $___ and advice fee $___.</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Set aside $X for ongoing insurance costs (where no other ongoing plan costs)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set aside for insurance costs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pw/pm</w:t>
            </w:r>
          </w:p>
        </w:tc>
      </w:tr>
      <w:tr>
        <w:tc>
          <w:tcPr>
            <w:tcW w:type="dxa" w:w="5256"/>
            <w:shd w:val="clear" w:fill="E5F4F6"/>
          </w:tcPr>
          <w:p>
            <w:r>
              <w:rPr>
                <w:b/>
                <w:color w:val="0C2E3F"/>
                <w:sz w:val="17"/>
              </w:rPr>
              <w:t>Summary – Strategies line</w:t>
            </w:r>
          </w:p>
        </w:tc>
        <w:tc>
          <w:tcPr>
            <w:tcW w:type="dxa" w:w="5256"/>
          </w:tcPr>
          <w:p>
            <w:r>
              <w:rPr>
                <w:sz w:val="19"/>
              </w:rPr>
              <w:t>We recommend you set aside $___ to cover your ongoing insurance costs.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Establish an MCAA (Macquarie Accelerator) cash hub</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mcaa</w:t>
              <w:br/>
              <w:t>• macquarie accelerator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Macquarie Accelerator (MCAA) account as your cash hub.</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Retain an emergency cash buffer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emergency fund</w:t>
            </w:r>
          </w:p>
        </w:tc>
      </w:tr>
      <w:tr>
        <w:tc>
          <w:tcPr>
            <w:tcW w:type="dxa" w:w="5256"/>
            <w:shd w:val="clear" w:fill="E5F4F6"/>
          </w:tcPr>
          <w:p>
            <w:r>
              <w:rPr>
                <w:b/>
                <w:color w:val="0C2E3F"/>
                <w:sz w:val="17"/>
              </w:rPr>
              <w:t>Always-on / Tailored</w:t>
            </w:r>
          </w:p>
        </w:tc>
        <w:tc>
          <w:tcPr>
            <w:tcW w:type="dxa" w:w="5256"/>
          </w:tcPr>
          <w:p>
            <w:r>
              <w:rPr>
                <w:sz w:val="19"/>
              </w:rPr>
              <w:t>Always-on (cashflow scoped)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retain an emergency cash buffer of $___ within your offset/savings for unexpected expenses.</w:t>
            </w:r>
          </w:p>
        </w:tc>
      </w:tr>
      <w:tr>
        <w:tc>
          <w:tcPr>
            <w:tcW w:type="dxa" w:w="5256"/>
            <w:shd w:val="clear" w:fill="E5F4F6"/>
          </w:tcPr>
          <w:p>
            <w:r>
              <w:rPr>
                <w:b/>
                <w:color w:val="0C2E3F"/>
                <w:sz w:val="17"/>
              </w:rPr>
              <w:t>Summary – Outcomes line</w:t>
            </w:r>
          </w:p>
        </w:tc>
        <w:tc>
          <w:tcPr>
            <w:tcW w:type="dxa" w:w="5256"/>
          </w:tcPr>
          <w:p>
            <w:r>
              <w:rPr>
                <w:sz w:val="19"/>
              </w:rPr>
              <w:t>You hold a readily-accessible buffer for unexpected costs, reducing the need to draw on investments or credit.</w:t>
            </w:r>
          </w:p>
        </w:tc>
      </w:tr>
      <w:tr>
        <w:tc>
          <w:tcPr>
            <w:tcW w:type="dxa" w:w="5256"/>
            <w:shd w:val="clear" w:fill="E5F4F6"/>
          </w:tcPr>
          <w:p>
            <w:r>
              <w:rPr>
                <w:b/>
                <w:color w:val="0C2E3F"/>
                <w:sz w:val="17"/>
              </w:rPr>
              <w:t>Why / In line with your goals (bullets)</w:t>
            </w:r>
          </w:p>
        </w:tc>
        <w:tc>
          <w:tcPr>
            <w:tcW w:type="dxa" w:w="5256"/>
          </w:tcPr>
          <w:p>
            <w:r>
              <w:rPr>
                <w:sz w:val="19"/>
              </w:rPr>
              <w:t>• A cash buffer provides liquidity and peace of mind for unexpected expenses.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1"/>
      </w:pPr>
      <w:r>
        <w:rPr>
          <w:color w:val="1F6FEB"/>
          <w:sz w:val="30"/>
        </w:rPr>
        <w:t>9 · Estate Planning</w:t>
      </w:r>
    </w:p>
    <w:p>
      <w:r>
        <w:rPr>
          <w:i/>
          <w:color w:val="5B6B76"/>
          <w:sz w:val="18"/>
        </w:rPr>
        <w:t>Will/POA and binding nomination wording is verbatim. Testamentary trust is a draft.</w:t>
      </w:r>
    </w:p>
    <w:p>
      <w:pPr>
        <w:pStyle w:val="Heading2"/>
      </w:pPr>
      <w:r>
        <w:rPr>
          <w:color w:val="0C2E3F"/>
          <w:sz w:val="23"/>
        </w:rPr>
        <w:t>Prepare / review your Will</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p>
      <w:pPr>
        <w:pStyle w:val="Heading2"/>
      </w:pPr>
      <w:r>
        <w:rPr>
          <w:color w:val="0C2E3F"/>
          <w:sz w:val="23"/>
        </w:rPr>
        <w:t>Prepare / review Power of Attorney</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p>
      <w:pPr>
        <w:pStyle w:val="Heading2"/>
      </w:pPr>
      <w:r>
        <w:rPr>
          <w:color w:val="0C2E3F"/>
          <w:sz w:val="23"/>
        </w:rPr>
        <w:t>Non-lapsing binding death benefit nomination (super)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Testamentary trust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contact a solicitor to ensure that you have a valid and updated testamentary trust in place.</w:t>
            </w:r>
          </w:p>
        </w:tc>
      </w:tr>
      <w:tr>
        <w:tc>
          <w:tcPr>
            <w:tcW w:type="dxa" w:w="5256"/>
            <w:shd w:val="clear" w:fill="E5F4F6"/>
          </w:tcPr>
          <w:p>
            <w:r>
              <w:rPr>
                <w:b/>
                <w:color w:val="0C2E3F"/>
                <w:sz w:val="17"/>
              </w:rPr>
              <w:t>Summary – Outcomes line</w:t>
            </w:r>
          </w:p>
        </w:tc>
        <w:tc>
          <w:tcPr>
            <w:tcW w:type="dxa" w:w="5256"/>
          </w:tcPr>
          <w:p>
            <w:r>
              <w:rPr>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sz w:val="19"/>
              </w:rPr>
              <w:t>• Tax Benefits — a testamentary trust allows trustees to distribute and split the income of the trust with tax planning in mind.</w:t>
              <w:br/>
              <w:t>• Asset Protection — the trust holds the title to the trust's assets (rather than the beneficiaries directly), allowing the trust to protect assets from any litigation, bankruptcy or legal action.</w:t>
              <w:br/>
              <w:t>• Flexibility — a testamentary trust can provide great flexibility to suit individual circumstances. For example, it is possible to restrict access to assets or distributions to a particular beneficiary.</w:t>
            </w:r>
          </w:p>
        </w:tc>
      </w:tr>
      <w:tr>
        <w:tc>
          <w:tcPr>
            <w:tcW w:type="dxa" w:w="5256"/>
            <w:shd w:val="clear" w:fill="E5F4F6"/>
          </w:tcPr>
          <w:p>
            <w:r>
              <w:rPr>
                <w:b/>
                <w:color w:val="0C2E3F"/>
                <w:sz w:val="17"/>
              </w:rPr>
              <w:t>Risks &amp; Disadvantages (bullets)</w:t>
            </w:r>
          </w:p>
        </w:tc>
        <w:tc>
          <w:tcPr>
            <w:tcW w:type="dxa" w:w="5256"/>
          </w:tcPr>
          <w:p>
            <w:r>
              <w:rPr>
                <w:sz w:val="19"/>
              </w:rPr>
              <w:t>• Your solicitor may charge a fee to review / update your Wills and/or Powers of Attorney.</w:t>
              <w:br/>
              <w:t>• Estate planning laws vary between Australian states and territories as well as between countries. For this reason, it is important to ensure that your Will is valid for the state in which you live.</w:t>
              <w:br/>
              <w:t>• A Will does not expire and it is therefore important to have it reviewed and updated if or when your situation changes.</w:t>
              <w:br/>
              <w:t>• Should you fail to update your Will following marriage or divorce it will render it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Distribute the estate directly via the Will — discounted where the tax and asset-protection benefits of a testamentary trust are valuable to your beneficiaries.</w:t>
            </w:r>
          </w:p>
        </w:tc>
      </w:tr>
    </w:tbl>
    <w:p/>
    <w:p>
      <w:pPr>
        <w:pStyle w:val="Heading2"/>
      </w:pPr>
      <w:r>
        <w:rPr>
          <w:color w:val="0C2E3F"/>
          <w:sz w:val="23"/>
        </w:rPr>
        <w:t>Apply for the Centrelink Age Pension (retirement trigger)</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age pension</w:t>
              <w:br/>
              <w:t>• centrelink</w:t>
              <w:br/>
              <w:t>• retire</w:t>
              <w:br/>
              <w:t>• reduce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reaching/at Age Pension age and retiring or reducing work</w:t>
            </w:r>
          </w:p>
        </w:tc>
      </w:tr>
      <w:tr>
        <w:tc>
          <w:tcPr>
            <w:tcW w:type="dxa" w:w="5256"/>
            <w:shd w:val="clear" w:fill="E5F4F6"/>
          </w:tcPr>
          <w:p>
            <w:r>
              <w:rPr>
                <w:b/>
                <w:color w:val="0C2E3F"/>
                <w:sz w:val="17"/>
              </w:rPr>
              <w:t>Figures it pulls ($ / %)</w:t>
            </w:r>
          </w:p>
        </w:tc>
        <w:tc>
          <w:tcPr>
            <w:tcW w:type="dxa" w:w="5256"/>
          </w:tcPr>
          <w:p>
            <w:r>
              <w:rPr>
                <w:sz w:val="19"/>
              </w:rPr>
              <w:t>Estimated fortnightly entitlement (homeowner couple/single rate)</w:t>
            </w:r>
          </w:p>
        </w:tc>
      </w:tr>
      <w:tr>
        <w:tc>
          <w:tcPr>
            <w:tcW w:type="dxa" w:w="5256"/>
            <w:shd w:val="clear" w:fill="E5F4F6"/>
          </w:tcPr>
          <w:p>
            <w:r>
              <w:rPr>
                <w:b/>
                <w:color w:val="0C2E3F"/>
                <w:sz w:val="17"/>
              </w:rPr>
              <w:t>Summary – Strategies line</w:t>
            </w:r>
          </w:p>
        </w:tc>
        <w:tc>
          <w:tcPr>
            <w:tcW w:type="dxa" w:w="5256"/>
          </w:tcPr>
          <w:p>
            <w:r>
              <w:rPr>
                <w:sz w:val="19"/>
              </w:rPr>
              <w:t>We recommend that next financial year, when you retire or reduce your work, you apply for the Centrelink Age Pension.</w:t>
            </w:r>
          </w:p>
        </w:tc>
      </w:tr>
      <w:tr>
        <w:tc>
          <w:tcPr>
            <w:tcW w:type="dxa" w:w="5256"/>
            <w:shd w:val="clear" w:fill="E5F4F6"/>
          </w:tcPr>
          <w:p>
            <w:r>
              <w:rPr>
                <w:b/>
                <w:color w:val="0C2E3F"/>
                <w:sz w:val="17"/>
              </w:rPr>
              <w:t>Summary – Outcomes line</w:t>
            </w:r>
          </w:p>
        </w:tc>
        <w:tc>
          <w:tcPr>
            <w:tcW w:type="dxa" w:w="5256"/>
          </w:tcPr>
          <w:p>
            <w:r>
              <w:rPr>
                <w:sz w:val="19"/>
              </w:rPr>
              <w:t>You access government income support to supplement your pension drawdowns once retired.</w:t>
            </w:r>
          </w:p>
        </w:tc>
      </w:tr>
      <w:tr>
        <w:tc>
          <w:tcPr>
            <w:tcW w:type="dxa" w:w="5256"/>
            <w:shd w:val="clear" w:fill="E5F4F6"/>
          </w:tcPr>
          <w:p>
            <w:r>
              <w:rPr>
                <w:b/>
                <w:color w:val="0C2E3F"/>
                <w:sz w:val="17"/>
              </w:rPr>
              <w:t>Why / In line with your goals (bullets)</w:t>
            </w:r>
          </w:p>
        </w:tc>
        <w:tc>
          <w:tcPr>
            <w:tcW w:type="dxa" w:w="5256"/>
          </w:tcPr>
          <w:p>
            <w:r>
              <w:rPr>
                <w:sz w:val="19"/>
              </w:rPr>
              <w:t>• On full retirement you may be entitled to a meaningful fortnightly payment as a homeowner, supplementing your account-based pension income and reducing the drawdown pressure on your super.</w:t>
              <w:br/>
              <w:t>• 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tc>
      </w:tr>
      <w:tr>
        <w:tc>
          <w:tcPr>
            <w:tcW w:type="dxa" w:w="5256"/>
            <w:shd w:val="clear" w:fill="E5F4F6"/>
          </w:tcPr>
          <w:p>
            <w:r>
              <w:rPr>
                <w:b/>
                <w:color w:val="0C2E3F"/>
                <w:sz w:val="17"/>
              </w:rPr>
              <w:t>Risks &amp; Disadvantages (bullets)</w:t>
            </w:r>
          </w:p>
        </w:tc>
        <w:tc>
          <w:tcPr>
            <w:tcW w:type="dxa" w:w="5256"/>
          </w:tcPr>
          <w:p>
            <w:r>
              <w:rPr>
                <w:sz w:val="19"/>
              </w:rPr>
              <w:t>• Entitlement depends on the assets and income tests at the time; rates and thresholds are subject to change and indexation.</w:t>
            </w:r>
          </w:p>
        </w:tc>
      </w:tr>
      <w:tr>
        <w:tc>
          <w:tcPr>
            <w:tcW w:type="dxa" w:w="5256"/>
            <w:shd w:val="clear" w:fill="E5F4F6"/>
          </w:tcPr>
          <w:p>
            <w:r>
              <w:rPr>
                <w:b/>
                <w:color w:val="0C2E3F"/>
                <w:sz w:val="17"/>
              </w:rPr>
              <w:t>Alternatives (bullets)</w:t>
            </w:r>
          </w:p>
        </w:tc>
        <w:tc>
          <w:tcPr>
            <w:tcW w:type="dxa" w:w="5256"/>
          </w:tcPr>
          <w:p>
            <w:r>
              <w:rPr>
                <w:sz w:val="19"/>
              </w:rPr>
              <w:t>• Rely solely on pension drawdowns — discounted as it forgoes available government support.</w:t>
            </w:r>
          </w:p>
        </w:tc>
      </w:tr>
    </w:tbl>
    <w:p/>
    <w:p>
      <w:pPr>
        <w:pStyle w:val="Heading1"/>
      </w:pPr>
      <w:r>
        <w:rPr>
          <w:color w:val="1F6FEB"/>
          <w:sz w:val="30"/>
        </w:rPr>
        <w:t>10 · Administration Recommendations</w:t>
      </w:r>
    </w:p>
    <w:p>
      <w:pPr>
        <w:pStyle w:val="Heading2"/>
      </w:pPr>
      <w:r>
        <w:rPr>
          <w:color w:val="0C2E3F"/>
          <w:sz w:val="23"/>
        </w:rPr>
        <w:t>Use the My Wealth Portal</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p>
      <w:pPr>
        <w:pStyle w:val="Heading2"/>
      </w:pPr>
      <w:r>
        <w:rPr>
          <w:color w:val="0C2E3F"/>
          <w:sz w:val="23"/>
        </w:rPr>
        <w:t>Establish your investments through the recommended platform</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pStyle w:val="Heading1"/>
      </w:pPr>
      <w:r>
        <w:rPr>
          <w:color w:val="1F6FEB"/>
          <w:sz w:val="30"/>
        </w:rPr>
        <w:t>11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p>
      <w:pPr>
        <w:pStyle w:val="Heading2"/>
      </w:pPr>
      <w:r>
        <w:rPr>
          <w:color w:val="0C2E3F"/>
          <w:sz w:val="23"/>
        </w:rPr>
        <w:t>Investment company / bucket company</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p>
      <w:pPr>
        <w:pStyle w:val="Heading2"/>
      </w:pPr>
      <w:r>
        <w:rPr>
          <w:color w:val="0C2E3F"/>
          <w:sz w:val="23"/>
        </w:rPr>
        <w:t>Family / discretionary trust (as advice entity)</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p>
      <w:pPr>
        <w:pStyle w:val="Heading2"/>
      </w:pPr>
      <w:r>
        <w:rPr>
          <w:color w:val="0C2E3F"/>
          <w:sz w:val="23"/>
        </w:rPr>
        <w:t>SMSF as advice entity</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pStyle w:val="Heading1"/>
      </w:pPr>
      <w:r>
        <w:rPr>
          <w:color w:val="1F6FEB"/>
          <w:sz w:val="30"/>
        </w:rPr>
        <w:t>CARE · Investment Philosophy justification</w:t>
      </w:r>
    </w:p>
    <w:p>
      <w:r>
        <w:rPr>
          <w:i/>
          <w:color w:val="5B6B76"/>
          <w:sz w:val="18"/>
        </w:rPr>
        <w:t>Tickable reasons CARE is recommended (per client/entity, super and/or investment). Feeds Summary-Outcomes, Super &amp; Investment strategy/product wording, Alternatives comparison and Replacement Implications — to justify best interests regardless of fee.</w:t>
      </w:r>
    </w:p>
    <w:p>
      <w:pPr>
        <w:pStyle w:val="Heading2"/>
      </w:pPr>
      <w:r>
        <w:rPr>
          <w:color w:val="0C2E3F"/>
          <w:sz w:val="23"/>
        </w:rPr>
        <w:t>Active, professional day-to-day management (dynamic asset allocation)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care active management</w:t>
              <w:br/>
              <w:t>• actively managed</w:t>
              <w:br/>
              <w:t>• professional management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portfolio is actively managed day-to-day with the asset allocation adjusted as markets and your circumstances change, pursuing greater risk-adjusted returns and wealth preservation aligned to your [risk profile] profile and goals.</w:t>
            </w:r>
          </w:p>
        </w:tc>
      </w:tr>
      <w:tr>
        <w:tc>
          <w:tcPr>
            <w:tcW w:type="dxa" w:w="5256"/>
            <w:shd w:val="clear" w:fill="E5F4F6"/>
          </w:tcPr>
          <w:p>
            <w:r>
              <w:rPr>
                <w:b/>
                <w:color w:val="0C2E3F"/>
                <w:sz w:val="17"/>
              </w:rPr>
              <w:t>Why / In line with your goals (bullets)</w:t>
            </w:r>
          </w:p>
        </w:tc>
        <w:tc>
          <w:tcPr>
            <w:tcW w:type="dxa" w:w="5256"/>
          </w:tcPr>
          <w:p>
            <w:r>
              <w:rPr>
                <w:sz w:val="19"/>
              </w:rPr>
              <w:t>• 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br/>
              <w:t>• Active management allows the portfolio to respond to changing markets and to your changing needs, which a static investment cannot.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We considered a single diversified index fund; we discounted it as it does not provide the active management and separate components required to manage volatility and your personalised liquidity needs.</w:t>
              <w:br/>
              <w:t>• We considered you holding direct shares through a broker; we discounted this as you would not achieve the depth of diversification or the level of professional active management available through the managed account service.</w:t>
            </w:r>
          </w:p>
        </w:tc>
      </w:tr>
    </w:tbl>
    <w:p/>
    <w:p>
      <w:pPr>
        <w:pStyle w:val="Heading2"/>
      </w:pPr>
      <w:r>
        <w:rPr>
          <w:color w:val="0C2E3F"/>
          <w:sz w:val="23"/>
        </w:rPr>
        <w:t>Reserves component — liquidity to avoid forced selling in downturns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care reserves</w:t>
              <w:br/>
              <w:t>• reserves component</w:t>
              <w:br/>
              <w:t>• avoid forced selling</w:t>
              <w:br/>
              <w:t>• sequencing risk</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 hold a dedicated Reserves buffer that is continually topped up from portfolio income, so income and rebalancing can be funded without selling growth assets at the wrong time during a market downturn.</w:t>
            </w:r>
          </w:p>
        </w:tc>
      </w:tr>
      <w:tr>
        <w:tc>
          <w:tcPr>
            <w:tcW w:type="dxa" w:w="5256"/>
            <w:shd w:val="clear" w:fill="E5F4F6"/>
          </w:tcPr>
          <w:p>
            <w:r>
              <w:rPr>
                <w:b/>
                <w:color w:val="0C2E3F"/>
                <w:sz w:val="17"/>
              </w:rPr>
              <w:t>Why / In line with your goals (bullets)</w:t>
            </w:r>
          </w:p>
        </w:tc>
        <w:tc>
          <w:tcPr>
            <w:tcW w:type="dxa" w:w="5256"/>
          </w:tcPr>
          <w:p>
            <w:r>
              <w:rPr>
                <w:sz w:val="19"/>
              </w:rPr>
              <w:t>• A key benefit of the CARE approach is the separation of your investments into Core, Active, Reserves and Enhanced components, allowing the Reserves component to be continually topped up with income from the others.</w:t>
              <w:br/>
              <w:t>• This matters for you because [you are drawing an income / you are approaching retirement / you want to maintain your lifestyle and income through retirement] — it means you should not have to sell growth assets through necessity or at depressed prices during a downturn.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traditional diversified portfolio was discounted as it does not provide the separate Reserves component to smooth volatility at market extremes and provide for your personalised liquidity requirements.</w:t>
            </w:r>
          </w:p>
        </w:tc>
      </w:tr>
    </w:tbl>
    <w:p/>
    <w:p>
      <w:pPr>
        <w:pStyle w:val="Heading2"/>
      </w:pPr>
      <w:r>
        <w:rPr>
          <w:color w:val="0C2E3F"/>
          <w:sz w:val="23"/>
        </w:rPr>
        <w:t>Diversification &amp; risk-adjusted returns (Core / Active / Enhanced)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care diversification</w:t>
              <w:br/>
              <w:t>• core active enhanced</w:t>
              <w:br/>
              <w:t>• risk adjusted return</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capital is diversified across the Core, Active and Enhanced components to pursue stronger risk-adjusted returns for your [risk profile] profile.</w:t>
            </w:r>
          </w:p>
        </w:tc>
      </w:tr>
      <w:tr>
        <w:tc>
          <w:tcPr>
            <w:tcW w:type="dxa" w:w="5256"/>
            <w:shd w:val="clear" w:fill="E5F4F6"/>
          </w:tcPr>
          <w:p>
            <w:r>
              <w:rPr>
                <w:b/>
                <w:color w:val="0C2E3F"/>
                <w:sz w:val="17"/>
              </w:rPr>
              <w:t>Why / In line with your goals (bullets)</w:t>
            </w:r>
          </w:p>
        </w:tc>
        <w:tc>
          <w:tcPr>
            <w:tcW w:type="dxa" w:w="5256"/>
          </w:tcPr>
          <w:p>
            <w:r>
              <w:rPr>
                <w:sz w:val="19"/>
              </w:rPr>
              <w:t>• The CARE components provide diversification across management styles and asset classes, targeting better risk-adjusted returns than a single-fund approach.</w:t>
              <w:br/>
              <w:t>• This is aligned to your [risk profile] risk profile and your goal of {goal}.</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single balanced fund was considered and discounted as it provides less diversification across management styles and less ability to tailor the portfolio to your profile.</w:t>
            </w:r>
          </w:p>
        </w:tc>
      </w:tr>
    </w:tbl>
    <w:p/>
    <w:p>
      <w:pPr>
        <w:pStyle w:val="Heading2"/>
      </w:pPr>
      <w:r>
        <w:rPr>
          <w:color w:val="0C2E3F"/>
          <w:sz w:val="23"/>
        </w:rPr>
        <w:t>Behavioural discipline — removing emotion from investing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care behavioural</w:t>
              <w:br/>
              <w:t>• remove emotion</w:t>
              <w:br/>
              <w:t>• discipline at market extremes</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A disciplined, managed process keeps your portfolio invested appropriately through market cycles, reducing the risk of poorly-timed decisions.</w:t>
            </w:r>
          </w:p>
        </w:tc>
      </w:tr>
      <w:tr>
        <w:tc>
          <w:tcPr>
            <w:tcW w:type="dxa" w:w="5256"/>
            <w:shd w:val="clear" w:fill="E5F4F6"/>
          </w:tcPr>
          <w:p>
            <w:r>
              <w:rPr>
                <w:b/>
                <w:color w:val="0C2E3F"/>
                <w:sz w:val="17"/>
              </w:rPr>
              <w:t>Why / In line with your goals (bullets)</w:t>
            </w:r>
          </w:p>
        </w:tc>
        <w:tc>
          <w:tcPr>
            <w:tcW w:type="dxa" w:w="5256"/>
          </w:tcPr>
          <w:p>
            <w:r>
              <w:rPr>
                <w:sz w:val="19"/>
              </w:rPr>
              <w:t>• The managed structure removes the need for you to make emotional buy/sell decisions at market extremes, which is one of the largest detractors from long-term returns.</w:t>
              <w:br/>
              <w:t>• This supports your goal of {goal} by keeping your strategy on track.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self-directed approach was discounted given the behavioural risk of selling at market lows and the time and expertise required to manage the portfolio yourself.</w:t>
            </w:r>
          </w:p>
        </w:tc>
      </w:tr>
    </w:tbl>
    <w:p/>
    <w:p>
      <w:pPr>
        <w:pStyle w:val="Heading2"/>
      </w:pPr>
      <w:r>
        <w:rPr>
          <w:color w:val="0C2E3F"/>
          <w:sz w:val="23"/>
        </w:rPr>
        <w:t>Tax efficiency — franking credits &amp; CGT management within the managed account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care tax efficiency</w:t>
              <w:br/>
              <w:t>• franking credits</w:t>
              <w:br/>
              <w:t>• cgt management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account receives the direct benefit of franking credits and active capital-gains management, improving your after-tax return and helping to offset fees.</w:t>
            </w:r>
          </w:p>
        </w:tc>
      </w:tr>
      <w:tr>
        <w:tc>
          <w:tcPr>
            <w:tcW w:type="dxa" w:w="5256"/>
            <w:shd w:val="clear" w:fill="E5F4F6"/>
          </w:tcPr>
          <w:p>
            <w:r>
              <w:rPr>
                <w:b/>
                <w:color w:val="0C2E3F"/>
                <w:sz w:val="17"/>
              </w:rPr>
              <w:t>Why / In line with your goals (bullets)</w:t>
            </w:r>
          </w:p>
        </w:tc>
        <w:tc>
          <w:tcPr>
            <w:tcW w:type="dxa" w:w="5256"/>
          </w:tcPr>
          <w:p>
            <w:r>
              <w:rPr>
                <w:sz w:val="19"/>
              </w:rPr>
              <w:t>• Through the recommended platform you receive the direct benefit of any franking credits associated with your account (estimated approx. $[amount] p.a.), which reduces your tax and increases your effective return.</w:t>
              <w:br/>
              <w:t>• Capital gains are actively managed within the portfolio, improving tax outcomes compared with [your existing fund, where you may only receive a partial or no benefit of franking credits].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[Your existing fund] was considered for retention; we discounted it as you may only receive a partial or no franking-credit benefit, making it less tax-effective for you.</w:t>
            </w:r>
          </w:p>
        </w:tc>
      </w:tr>
    </w:tbl>
    <w:p/>
    <w:p>
      <w:pPr>
        <w:pStyle w:val="Heading2"/>
      </w:pPr>
      <w:r>
        <w:rPr>
          <w:color w:val="0C2E3F"/>
          <w:sz w:val="23"/>
        </w:rPr>
        <w:t>Direct ownership &amp; transparency (franking direct to you; full visibility via the My Wealth Portal)</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care transparency</w:t>
              <w:br/>
              <w:t>• direct ownership</w:t>
              <w:br/>
              <w:t>• portal visibility</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 have direct ownership of your underlying holdings with full transparency and reporting through the My Wealth Portal.</w:t>
            </w:r>
          </w:p>
        </w:tc>
      </w:tr>
      <w:tr>
        <w:tc>
          <w:tcPr>
            <w:tcW w:type="dxa" w:w="5256"/>
            <w:shd w:val="clear" w:fill="E5F4F6"/>
          </w:tcPr>
          <w:p>
            <w:r>
              <w:rPr>
                <w:b/>
                <w:color w:val="0C2E3F"/>
                <w:sz w:val="17"/>
              </w:rPr>
              <w:t>Why / In line with your goals (bullets)</w:t>
            </w:r>
          </w:p>
        </w:tc>
        <w:tc>
          <w:tcPr>
            <w:tcW w:type="dxa" w:w="5256"/>
          </w:tcPr>
          <w:p>
            <w:r>
              <w:rPr>
                <w:sz w:val="19"/>
              </w:rPr>
              <w:t>• The managed account gives you direct beneficial ownership of the underlying assets and full visibility of holdings, transactions and performance through the My Wealth Portal.</w:t>
              <w:br/>
              <w:t>• This transparency supports your goal of being financially well organised with a clear plan.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pooled fund-of-funds structure was considered; we discounted it as it provides less transparency and you would not receive franking credits as directly.</w:t>
            </w:r>
          </w:p>
        </w:tc>
      </w:tr>
    </w:tbl>
    <w:p/>
    <w:p>
      <w:pPr>
        <w:pStyle w:val="Heading2"/>
      </w:pPr>
      <w:r>
        <w:rPr>
          <w:color w:val="0C2E3F"/>
          <w:sz w:val="23"/>
        </w:rPr>
        <w:t>Tailored to your risk profile and goals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care tailored</w:t>
              <w:br/>
              <w:t>• aligned to goals</w:t>
              <w:br/>
              <w:t>• tailored to risk profile</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portfolio is constructed and managed specifically for your [risk profile] risk profile and your stated goals.</w:t>
            </w:r>
          </w:p>
        </w:tc>
      </w:tr>
      <w:tr>
        <w:tc>
          <w:tcPr>
            <w:tcW w:type="dxa" w:w="5256"/>
            <w:shd w:val="clear" w:fill="E5F4F6"/>
          </w:tcPr>
          <w:p>
            <w:r>
              <w:rPr>
                <w:b/>
                <w:color w:val="0C2E3F"/>
                <w:sz w:val="17"/>
              </w:rPr>
              <w:t>Why / In line with your goals (bullets)</w:t>
            </w:r>
          </w:p>
        </w:tc>
        <w:tc>
          <w:tcPr>
            <w:tcW w:type="dxa" w:w="5256"/>
          </w:tcPr>
          <w:p>
            <w:r>
              <w:rPr>
                <w:sz w:val="19"/>
              </w:rPr>
              <w:t>• The recommended portfolio is tailored to your [risk profile] risk profile and your objective of {goal}, rather than a generic allocation.</w:t>
              <w:br/>
              <w:t>• It will be reviewed at each ongoing review to ensure it remains appropriate as your circumstances change.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An off-the-shelf option not tailored to your profile was discounted as it would not align as closely to your goals and risk tolerance.</w:t>
            </w:r>
          </w:p>
        </w:tc>
      </w:tr>
    </w:tbl>
    <w:p/>
    <w:p>
      <w:pPr>
        <w:pStyle w:val="Heading2"/>
      </w:pPr>
      <w:r>
        <w:rPr>
          <w:color w:val="0C2E3F"/>
          <w:sz w:val="23"/>
        </w:rPr>
        <w:t>Value of ongoing professional management &amp; advice (fee-for-value)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care ongoing advice</w:t>
              <w:br/>
              <w:t>• fee for value</w:t>
              <w:br/>
              <w:t>• ongoing management value</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The fee includes ongoing professional management, regular review and access to advice, which together are designed to deliver value beyond the cost.</w:t>
            </w:r>
          </w:p>
        </w:tc>
      </w:tr>
      <w:tr>
        <w:tc>
          <w:tcPr>
            <w:tcW w:type="dxa" w:w="5256"/>
            <w:shd w:val="clear" w:fill="E5F4F6"/>
          </w:tcPr>
          <w:p>
            <w:r>
              <w:rPr>
                <w:b/>
                <w:color w:val="0C2E3F"/>
                <w:sz w:val="17"/>
              </w:rPr>
              <w:t>Why / In line with your goals (bullets)</w:t>
            </w:r>
          </w:p>
        </w:tc>
        <w:tc>
          <w:tcPr>
            <w:tcW w:type="dxa" w:w="5256"/>
          </w:tcPr>
          <w:p>
            <w:r>
              <w:rPr>
                <w:sz w:val="19"/>
              </w:rPr>
              <w:t>• The recommended fee covers ongoing active management, regular review and access to ongoing advice and education when you have queries.</w:t>
              <w:br/>
              <w:t>• We have weighed this value against the cost and consider it appropriate for your circumstances and goals.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lower-cost, advice-light option was considered; we discounted it as it would not provide the ongoing management and advice you have told us you value.</w:t>
            </w:r>
          </w:p>
        </w:tc>
      </w:tr>
    </w:tbl>
    <w:p/>
    <w:p>
      <w:pPr>
        <w:pStyle w:val="Heading2"/>
      </w:pPr>
      <w:r>
        <w:rPr>
          <w:color w:val="0C2E3F"/>
          <w:sz w:val="23"/>
        </w:rPr>
        <w:t>Best-interests statement where fees are higher than the current arrangement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F3F7F9"/>
          </w:tcPr>
          <w:p>
            <w:r>
              <w:rPr>
                <w:i/>
              </w:rPr>
              <w:t>Module detail</w:t>
            </w:r>
          </w:p>
        </w:tc>
      </w:tr>
      <w:tr>
        <w:tc>
          <w:tcPr>
            <w:tcW w:type="dxa" w:w="5256"/>
            <w:shd w:val="clear" w:fill="E5F4F6"/>
          </w:tcPr>
          <w:p>
            <w:r>
              <w:rPr>
                <w:b/>
                <w:color w:val="0C2E3F"/>
                <w:sz w:val="17"/>
              </w:rPr>
              <w:t>Trigger phrases (how it's written in the advice request)</w:t>
            </w:r>
          </w:p>
        </w:tc>
        <w:tc>
          <w:tcPr>
            <w:tcW w:type="dxa" w:w="5256"/>
          </w:tcPr>
          <w:p>
            <w:r>
              <w:rPr>
                <w:sz w:val="19"/>
              </w:rPr>
              <w:t>• care best interest</w:t>
              <w:br/>
              <w:t>• higher fee justified</w:t>
              <w:br/>
              <w:t>• fees are higher but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Although the recommended approach may cost more than your current arrangement, we have determined that it is in your best interests because it better meets your goals and needs for the reasons set out above.</w:t>
            </w:r>
          </w:p>
        </w:tc>
      </w:tr>
      <w:tr>
        <w:tc>
          <w:tcPr>
            <w:tcW w:type="dxa" w:w="5256"/>
            <w:shd w:val="clear" w:fill="E5F4F6"/>
          </w:tcPr>
          <w:p>
            <w:r>
              <w:rPr>
                <w:b/>
                <w:color w:val="0C2E3F"/>
                <w:sz w:val="17"/>
              </w:rPr>
              <w:t>Why / In line with your goals (bullets)</w:t>
            </w:r>
          </w:p>
        </w:tc>
        <w:tc>
          <w:tcPr>
            <w:tcW w:type="dxa" w:w="5256"/>
          </w:tcPr>
          <w:p>
            <w:r>
              <w:rPr>
                <w:sz w:val="19"/>
              </w:rPr>
              <w:t>• We have compared the recommended CARE approach against your current arrangement and lower-cost alternatives.</w:t>
              <w:br/>
              <w:t>• Where the recommended approach costs more, we have determined it is in your best interests because the additional benefits — [active management, the Reserves liquidity buffer, tax efficiency, tailoring to your goals and ongoing advice] — better meet your objectives of {goal}.</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Retaining your current arrangement / selecting the cheapest option was discounted because it does not provide the benefits above that are important to achieving your goals.</w:t>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