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have advised that you have made an offer on a new home and taken out an equity loan against your current home to fund the deposit. We have tailored the plan to reflect this — including using the sale proceeds of your current home, and managing your debt and cashflow after the upgrade.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Drawing equity against your current home funds the deposit on the new home without waiting for the existing property to sell.</w:t>
              <w:br/>
              <w:t>• On settlement, the sale proceeds of the current home repay the equity loan and reduce the new home loan.</w:t>
            </w:r>
          </w:p>
        </w:tc>
      </w:tr>
      <w:tr>
        <w:tc>
          <w:tcPr>
            <w:tcW w:type="dxa" w:w="5256"/>
            <w:shd w:val="clear" w:fill="E5F4F6"/>
          </w:tcPr>
          <w:p>
            <w:r>
              <w:rPr>
                <w:b/>
                <w:color w:val="0C2E3F"/>
                <w:sz w:val="17"/>
              </w:rPr>
              <w:t>Risks &amp; Disadvantages (bullets)</w:t>
            </w:r>
          </w:p>
        </w:tc>
        <w:tc>
          <w:tcPr>
            <w:tcW w:type="dxa" w:w="5256"/>
          </w:tcPr>
          <w:p>
            <w:r>
              <w:rPr>
                <w:sz w:val="19"/>
              </w:rPr>
              <w:t>• You carry bridging-style exposure (two properties / loans) until the current home sells; a delayed or lower sale price affects the plan.</w:t>
              <w:br/>
              <w:t>• Transaction costs (stamp duty, agent, legal) apply on the purchase and sale.</w:t>
            </w:r>
          </w:p>
        </w:tc>
      </w:tr>
      <w:tr>
        <w:tc>
          <w:tcPr>
            <w:tcW w:type="dxa" w:w="5256"/>
            <w:shd w:val="clear" w:fill="E5F4F6"/>
          </w:tcPr>
          <w:p>
            <w:r>
              <w:rPr>
                <w:b/>
                <w:color w:val="0C2E3F"/>
                <w:sz w:val="17"/>
              </w:rPr>
              <w:t>Alternatives (bullets)</w:t>
            </w:r>
          </w:p>
        </w:tc>
        <w:tc>
          <w:tcPr>
            <w:tcW w:type="dxa" w:w="5256"/>
          </w:tcPr>
          <w:p>
            <w:r>
              <w:rPr>
                <w:sz w:val="19"/>
              </w:rPr>
              <w:t>• Sell first, then buy — avoids dual-loan exposure but risks needing interim accommodation and missing the preferred home.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 home and rent part of it (partial rental of PPOR)</w:t>
            </w:r>
          </w:p>
        </w:tc>
      </w:tr>
      <w:tr>
        <w:tc>
          <w:tcPr>
            <w:tcW w:type="dxa" w:w="5256"/>
            <w:shd w:val="clear" w:fill="E5F4F6"/>
          </w:tcPr>
          <w:p>
            <w:r>
              <w:rPr>
                <w:b/>
                <w:color w:val="0C2E3F"/>
                <w:sz w:val="17"/>
              </w:rPr>
              <w:t>Trigger phrases (how it's written in the advice request)</w:t>
            </w:r>
          </w:p>
        </w:tc>
        <w:tc>
          <w:tcPr>
            <w:tcW w:type="dxa" w:w="5256"/>
          </w:tcPr>
          <w:p>
            <w:r>
              <w:rPr>
                <w:sz w:val="19"/>
              </w:rPr>
              <w:t>• rent part of the property</w:t>
              <w:br/>
              <w:t>• rent out a room</w:t>
              <w:br/>
              <w:t>• partial rental</w:t>
              <w:br/>
              <w:t>• rentvest</w:t>
              <w:br/>
              <w:t>• rent until you can afford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First-home / owner-occupier purchase where part of the property will be rented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purchase the property to live in and rent part of the property to assist with the mortgage, with a plan to do so until you are comfortable to afford the mortgage on your own.</w:t>
            </w:r>
          </w:p>
        </w:tc>
      </w:tr>
      <w:tr>
        <w:tc>
          <w:tcPr>
            <w:tcW w:type="dxa" w:w="5256"/>
            <w:shd w:val="clear" w:fill="E5F4F6"/>
          </w:tcPr>
          <w:p>
            <w:r>
              <w:rPr>
                <w:b/>
                <w:color w:val="0C2E3F"/>
                <w:sz w:val="17"/>
              </w:rPr>
              <w:t>Summary – Outcomes line</w:t>
            </w:r>
          </w:p>
        </w:tc>
        <w:tc>
          <w:tcPr>
            <w:tcW w:type="dxa" w:w="5256"/>
          </w:tcPr>
          <w:p>
            <w:r>
              <w:rPr>
                <w:sz w:val="19"/>
              </w:rPr>
              <w:t>Rental income reduces your effective mortgage cost during the early, cashflow-constrained years.</w:t>
            </w:r>
          </w:p>
        </w:tc>
      </w:tr>
      <w:tr>
        <w:tc>
          <w:tcPr>
            <w:tcW w:type="dxa" w:w="5256"/>
            <w:shd w:val="clear" w:fill="E5F4F6"/>
          </w:tcPr>
          <w:p>
            <w:r>
              <w:rPr>
                <w:b/>
                <w:color w:val="0C2E3F"/>
                <w:sz w:val="17"/>
              </w:rPr>
              <w:t>Why / In line with your goals (bullets)</w:t>
            </w:r>
          </w:p>
        </w:tc>
        <w:tc>
          <w:tcPr>
            <w:tcW w:type="dxa" w:w="5256"/>
          </w:tcPr>
          <w:p>
            <w:r>
              <w:rPr>
                <w:sz w:val="19"/>
              </w:rPr>
              <w:t>• Renting part of your home brings in income to help service the loan while you establish yourselves, with the rented portion's interest and expenses partially deductible.</w:t>
            </w:r>
          </w:p>
        </w:tc>
      </w:tr>
      <w:tr>
        <w:tc>
          <w:tcPr>
            <w:tcW w:type="dxa" w:w="5256"/>
            <w:shd w:val="clear" w:fill="E5F4F6"/>
          </w:tcPr>
          <w:p>
            <w:r>
              <w:rPr>
                <w:b/>
                <w:color w:val="0C2E3F"/>
                <w:sz w:val="17"/>
              </w:rPr>
              <w:t>Risks &amp; Disadvantages (bullets)</w:t>
            </w:r>
          </w:p>
        </w:tc>
        <w:tc>
          <w:tcPr>
            <w:tcW w:type="dxa" w:w="5256"/>
          </w:tcPr>
          <w:p>
            <w:r>
              <w:rPr>
                <w:sz w:val="19"/>
              </w:rPr>
              <w:t>• Renting part of your main residence means the rented portion loses part of the CGT main-residence exemption — apportionment applies on a future sale; keep records of the period and proportion rented.</w:t>
              <w:br/>
              <w:t>• Your lender may restrict renting under an owner-occupier loan; tenancy in an owner-occupied home carries practical risks.</w:t>
            </w:r>
          </w:p>
        </w:tc>
      </w:tr>
      <w:tr>
        <w:tc>
          <w:tcPr>
            <w:tcW w:type="dxa" w:w="5256"/>
            <w:shd w:val="clear" w:fill="E5F4F6"/>
          </w:tcPr>
          <w:p>
            <w:r>
              <w:rPr>
                <w:b/>
                <w:color w:val="0C2E3F"/>
                <w:sz w:val="17"/>
              </w:rPr>
              <w:t>Alternatives (bullets)</w:t>
            </w:r>
          </w:p>
        </w:tc>
        <w:tc>
          <w:tcPr>
            <w:tcW w:type="dxa" w:w="5256"/>
          </w:tcPr>
          <w:p>
            <w:r>
              <w:rPr>
                <w:sz w:val="19"/>
              </w:rPr>
              <w:t>• Buy purely as an owner-occupier (full CGT exemption, no rental income) or buy a separate investment property (clean investor loan) — discounted given your cashflow needs.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Joint investment account (couple ownership)</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held jointly.</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mortgage repayments to investing once the home loan is repaid/offset</w:t>
            </w:r>
          </w:p>
        </w:tc>
      </w:tr>
      <w:tr>
        <w:tc>
          <w:tcPr>
            <w:tcW w:type="dxa" w:w="5256"/>
            <w:shd w:val="clear" w:fill="E5F4F6"/>
          </w:tcPr>
          <w:p>
            <w:r>
              <w:rPr>
                <w:b/>
                <w:color w:val="0C2E3F"/>
                <w:sz w:val="17"/>
              </w:rPr>
              <w:t>Trigger phrases (how it's written in the advice request)</w:t>
            </w:r>
          </w:p>
        </w:tc>
        <w:tc>
          <w:tcPr>
            <w:tcW w:type="dxa" w:w="5256"/>
          </w:tcPr>
          <w:p>
            <w:r>
              <w:rPr>
                <w:sz w:val="19"/>
              </w:rPr>
              <w:t>• redirect mortgage repayments</w:t>
              <w:br/>
              <w:t>• once home loan repaid</w:t>
              <w:br/>
              <w:t>• reinvest repayments</w:t>
              <w:br/>
              <w:t>• home loan fully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Home loan on track to be repaid or fully offset within the plan</w:t>
            </w:r>
          </w:p>
        </w:tc>
      </w:tr>
      <w:tr>
        <w:tc>
          <w:tcPr>
            <w:tcW w:type="dxa" w:w="5256"/>
            <w:shd w:val="clear" w:fill="E5F4F6"/>
          </w:tcPr>
          <w:p>
            <w:r>
              <w:rPr>
                <w:b/>
                <w:color w:val="0C2E3F"/>
                <w:sz w:val="17"/>
              </w:rPr>
              <w:t>Figures it pulls ($ / %)</w:t>
            </w:r>
          </w:p>
        </w:tc>
        <w:tc>
          <w:tcPr>
            <w:tcW w:type="dxa" w:w="5256"/>
          </w:tcPr>
          <w:p>
            <w:r>
              <w:rPr>
                <w:sz w:val="19"/>
              </w:rPr>
              <w:t>Estimated additional wealth from redirected repayments</w:t>
            </w:r>
          </w:p>
        </w:tc>
      </w:tr>
      <w:tr>
        <w:tc>
          <w:tcPr>
            <w:tcW w:type="dxa" w:w="5256"/>
            <w:shd w:val="clear" w:fill="E5F4F6"/>
          </w:tcPr>
          <w:p>
            <w:r>
              <w:rPr>
                <w:b/>
                <w:color w:val="0C2E3F"/>
                <w:sz w:val="17"/>
              </w:rPr>
              <w:t>Summary – Strategies line</w:t>
            </w:r>
          </w:p>
        </w:tc>
        <w:tc>
          <w:tcPr>
            <w:tcW w:type="dxa" w:w="5256"/>
          </w:tcPr>
          <w:p>
            <w:r>
              <w:rPr>
                <w:sz w:val="19"/>
              </w:rPr>
              <w:t>Once your home loan is repaid (or fully offset), we recommend redirecting the amount you were paying in mortgage repayments into your investment plan.</w:t>
            </w:r>
          </w:p>
        </w:tc>
      </w:tr>
      <w:tr>
        <w:tc>
          <w:tcPr>
            <w:tcW w:type="dxa" w:w="5256"/>
            <w:shd w:val="clear" w:fill="E5F4F6"/>
          </w:tcPr>
          <w:p>
            <w:r>
              <w:rPr>
                <w:b/>
                <w:color w:val="0C2E3F"/>
                <w:sz w:val="17"/>
              </w:rPr>
              <w:t>Summary – Outcomes line</w:t>
            </w:r>
          </w:p>
        </w:tc>
        <w:tc>
          <w:tcPr>
            <w:tcW w:type="dxa" w:w="5256"/>
          </w:tcPr>
          <w:p>
            <w:r>
              <w:rPr>
                <w:sz w:val="19"/>
              </w:rPr>
              <w:t>The cashflow freed up when the mortgage ends is put to work building wealth (e.g. an estimated additional six-figure sum over the remaining plan).</w:t>
            </w:r>
          </w:p>
        </w:tc>
      </w:tr>
      <w:tr>
        <w:tc>
          <w:tcPr>
            <w:tcW w:type="dxa" w:w="5256"/>
            <w:shd w:val="clear" w:fill="E5F4F6"/>
          </w:tcPr>
          <w:p>
            <w:r>
              <w:rPr>
                <w:b/>
                <w:color w:val="0C2E3F"/>
                <w:sz w:val="17"/>
              </w:rPr>
              <w:t>Why / In line with your goals (bullets)</w:t>
            </w:r>
          </w:p>
        </w:tc>
        <w:tc>
          <w:tcPr>
            <w:tcW w:type="dxa" w:w="5256"/>
          </w:tcPr>
          <w:p>
            <w:r>
              <w:rPr>
                <w:sz w:val="19"/>
              </w:rPr>
              <w:t>• Redirecting former mortgage repayments into investments converts a finished liability into ongoing wealth creation without changing your lifestyle spending.</w:t>
            </w:r>
          </w:p>
        </w:tc>
      </w:tr>
      <w:tr>
        <w:tc>
          <w:tcPr>
            <w:tcW w:type="dxa" w:w="5256"/>
            <w:shd w:val="clear" w:fill="E5F4F6"/>
          </w:tcPr>
          <w:p>
            <w:r>
              <w:rPr>
                <w:b/>
                <w:color w:val="0C2E3F"/>
                <w:sz w:val="17"/>
              </w:rPr>
              <w:t>Risks &amp; Disadvantages (bullets)</w:t>
            </w:r>
          </w:p>
        </w:tc>
        <w:tc>
          <w:tcPr>
            <w:tcW w:type="dxa" w:w="5256"/>
          </w:tcPr>
          <w:p>
            <w:r>
              <w:rPr>
                <w:sz w:val="19"/>
              </w:rPr>
              <w:t>• Investment returns are not guaranteed; the redirected amount is exposed to market movements.</w:t>
            </w:r>
          </w:p>
        </w:tc>
      </w:tr>
      <w:tr>
        <w:tc>
          <w:tcPr>
            <w:tcW w:type="dxa" w:w="5256"/>
            <w:shd w:val="clear" w:fill="E5F4F6"/>
          </w:tcPr>
          <w:p>
            <w:r>
              <w:rPr>
                <w:b/>
                <w:color w:val="0C2E3F"/>
                <w:sz w:val="17"/>
              </w:rPr>
              <w:t>Alternatives (bullets)</w:t>
            </w:r>
          </w:p>
        </w:tc>
        <w:tc>
          <w:tcPr>
            <w:tcW w:type="dxa" w:w="5256"/>
          </w:tcPr>
          <w:p>
            <w:r>
              <w:rPr>
                <w:sz w:val="19"/>
              </w:rPr>
              <w:t>• Spend the freed-up cashflow on lifestyle — discounted as it forgoes the wealth-building opportunity.</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future rental increases into super (or to the gearing plan)</w:t>
            </w:r>
          </w:p>
        </w:tc>
      </w:tr>
      <w:tr>
        <w:tc>
          <w:tcPr>
            <w:tcW w:type="dxa" w:w="5256"/>
            <w:shd w:val="clear" w:fill="E5F4F6"/>
          </w:tcPr>
          <w:p>
            <w:r>
              <w:rPr>
                <w:b/>
                <w:color w:val="0C2E3F"/>
                <w:sz w:val="17"/>
              </w:rPr>
              <w:t>Trigger phrases (how it's written in the advice request)</w:t>
            </w:r>
          </w:p>
        </w:tc>
        <w:tc>
          <w:tcPr>
            <w:tcW w:type="dxa" w:w="5256"/>
          </w:tcPr>
          <w:p>
            <w:r>
              <w:rPr>
                <w:sz w:val="19"/>
              </w:rPr>
              <w:t>• rent increases salary sacrifice</w:t>
              <w:br/>
              <w:t>• future rent to super</w:t>
              <w:br/>
              <w:t>• direct rent increases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property held; future rent growth expected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plan to have future rent increases salary sacrificed into superannuation or allocated to your instalment gearing plan. This may be changed to direct rent increases to an additional property or to fund everyday lifestyle, reviewed as your circumstances evolve.</w:t>
            </w:r>
          </w:p>
        </w:tc>
      </w:tr>
      <w:tr>
        <w:tc>
          <w:tcPr>
            <w:tcW w:type="dxa" w:w="5256"/>
            <w:shd w:val="clear" w:fill="E5F4F6"/>
          </w:tcPr>
          <w:p>
            <w:r>
              <w:rPr>
                <w:b/>
                <w:color w:val="0C2E3F"/>
                <w:sz w:val="17"/>
              </w:rPr>
              <w:t>Summary – Outcomes line</w:t>
            </w:r>
          </w:p>
        </w:tc>
        <w:tc>
          <w:tcPr>
            <w:tcW w:type="dxa" w:w="5256"/>
          </w:tcPr>
          <w:p>
            <w:r>
              <w:rPr>
                <w:sz w:val="19"/>
              </w:rPr>
              <w:t>Growth in passive (rental) income is captured into super or the investment plan rather than absorbed into spending.</w:t>
            </w:r>
          </w:p>
        </w:tc>
      </w:tr>
      <w:tr>
        <w:tc>
          <w:tcPr>
            <w:tcW w:type="dxa" w:w="5256"/>
            <w:shd w:val="clear" w:fill="E5F4F6"/>
          </w:tcPr>
          <w:p>
            <w:r>
              <w:rPr>
                <w:b/>
                <w:color w:val="0C2E3F"/>
                <w:sz w:val="17"/>
              </w:rPr>
              <w:t>Why / In line with your goals (bullets)</w:t>
            </w:r>
          </w:p>
        </w:tc>
        <w:tc>
          <w:tcPr>
            <w:tcW w:type="dxa" w:w="5256"/>
          </w:tcPr>
          <w:p>
            <w:r>
              <w:rPr>
                <w:sz w:val="19"/>
              </w:rPr>
              <w:t>• Directing future rent increases into super (concessionally taxed) or the gearing plan compounds the benefit of rising rents rather than letting it leak into lifestyle.</w:t>
            </w:r>
          </w:p>
        </w:tc>
      </w:tr>
      <w:tr>
        <w:tc>
          <w:tcPr>
            <w:tcW w:type="dxa" w:w="5256"/>
            <w:shd w:val="clear" w:fill="E5F4F6"/>
          </w:tcPr>
          <w:p>
            <w:r>
              <w:rPr>
                <w:b/>
                <w:color w:val="0C2E3F"/>
                <w:sz w:val="17"/>
              </w:rPr>
              <w:t>Risks &amp; Disadvantages (bullets)</w:t>
            </w:r>
          </w:p>
        </w:tc>
        <w:tc>
          <w:tcPr>
            <w:tcW w:type="dxa" w:w="5256"/>
          </w:tcPr>
          <w:p>
            <w:r>
              <w:rPr>
                <w:sz w:val="19"/>
              </w:rPr>
              <w:t>• Future rent may not rise as projected; this requires an annual decision and adds management complexity.</w:t>
            </w:r>
          </w:p>
        </w:tc>
      </w:tr>
      <w:tr>
        <w:tc>
          <w:tcPr>
            <w:tcW w:type="dxa" w:w="5256"/>
            <w:shd w:val="clear" w:fill="E5F4F6"/>
          </w:tcPr>
          <w:p>
            <w:r>
              <w:rPr>
                <w:b/>
                <w:color w:val="0C2E3F"/>
                <w:sz w:val="17"/>
              </w:rPr>
              <w:t>Alternatives (bullets)</w:t>
            </w:r>
          </w:p>
        </w:tc>
        <w:tc>
          <w:tcPr>
            <w:tcW w:type="dxa" w:w="5256"/>
          </w:tcPr>
          <w:p>
            <w:r>
              <w:rPr>
                <w:sz w:val="19"/>
              </w:rPr>
              <w:t>• Direct rent increases entirely to the offset / loan reduction, or to lifestyle — chosen approach reviewed annually.</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