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Personal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Superannuation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Management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 Recommendations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Active, professional day-to-day management (dynamic asset allocation)</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component — liquidity to avoid forced selling in downturns</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Diversification &amp; risk-adjusted returns (Core / Active / Enhanced)</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Behavioural discipline — removing emotion from investing</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Tax efficiency — franking credits &amp; CGT management within the managed account</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ownership &amp; transparency (franking direct to you; full visibility via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Tailored to your risk profile and goals</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Value of ongoing professional management &amp; advice (fee-for-value)</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Best-interests statement where fees are higher than the current arrangement</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