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6FEB"/>
          <w:sz w:val="22"/>
        </w:rPr>
        <w:t>My Wealth Solutions</w:t>
      </w:r>
    </w:p>
    <w:p>
      <w:pPr>
        <w:pStyle w:val="Title"/>
      </w:pPr>
      <w:r>
        <w:rPr>
          <w:color w:val="0C2E3F"/>
        </w:rPr>
        <w:t>SOA Generator — Build Plan &amp; To‑Do</w:t>
      </w:r>
    </w:p>
    <w:p>
      <w:r>
        <w:t>A grounded review of the current tool (</w:t>
      </w:r>
      <w:r>
        <w:rPr>
          <w:rFonts w:ascii="Consolas" w:hAnsi="Consolas"/>
          <w:color w:val="12212B"/>
          <w:sz w:val="19"/>
        </w:rPr>
        <w:t>SOA_Generator_v190.html</w:t>
      </w:r>
      <w:r>
        <w:t>) and a phased plan to make it</w:t>
      </w:r>
    </w:p>
    <w:p>
      <w:r>
        <w:t xml:space="preserve">work cleanly and accurately for </w:t>
      </w:r>
      <w:r>
        <w:rPr>
          <w:b/>
        </w:rPr>
        <w:t>single, couple, and entity</w:t>
      </w:r>
      <w:r>
        <w:t xml:space="preserve"> clients across every strategy area,</w:t>
      </w:r>
    </w:p>
    <w:p>
      <w:r>
        <w:t xml:space="preserve">driven by </w:t>
      </w:r>
      <w:r>
        <w:rPr>
          <w:b/>
        </w:rPr>
        <w:t>advice‑request keywords</w:t>
      </w:r>
      <w:r>
        <w:t xml:space="preserve"> pulling from a maintainable </w:t>
      </w:r>
      <w:r>
        <w:rPr>
          <w:b/>
        </w:rPr>
        <w:t>word bank</w:t>
      </w:r>
      <w:r>
        <w:t>.</w:t>
      </w:r>
    </w:p>
    <w:p/>
    <w:p>
      <w:pPr>
        <w:pStyle w:val="Heading1"/>
      </w:pPr>
      <w:r>
        <w:rPr>
          <w:color w:val="0C2E3F"/>
        </w:rPr>
        <w:t>1. Where it stands today (verified)</w:t>
      </w:r>
    </w:p>
    <w:p>
      <w:r>
        <w:rPr>
          <w:b/>
        </w:rPr>
        <w:t>Solid:</w:t>
      </w:r>
    </w:p>
    <w:p>
      <w:pPr>
        <w:pStyle w:val="ListBullet"/>
      </w:pPr>
      <w:r>
        <w:rPr>
          <w:b/>
        </w:rPr>
        <w:t>Client types:</w:t>
      </w:r>
      <w:r>
        <w:t xml:space="preserve"> single + couple (joint) fully supported — pronouns (</w:t>
      </w:r>
      <w:r>
        <w:rPr>
          <w:rFonts w:ascii="Consolas" w:hAnsi="Consolas"/>
          <w:color w:val="12212B"/>
          <w:sz w:val="19"/>
        </w:rPr>
        <w:t>IWe</w:t>
      </w:r>
      <w:r>
        <w:t>/</w:t>
      </w:r>
      <w:r>
        <w:rPr>
          <w:rFonts w:ascii="Consolas" w:hAnsi="Consolas"/>
          <w:color w:val="12212B"/>
          <w:sz w:val="19"/>
        </w:rPr>
        <w:t>iwe</w:t>
      </w:r>
      <w:r>
        <w:t>), names</w:t>
      </w:r>
    </w:p>
    <w:p>
      <w:r>
        <w:t xml:space="preserve">  (</w:t>
      </w:r>
      <w:r>
        <w:rPr>
          <w:rFonts w:ascii="Consolas" w:hAnsi="Consolas"/>
          <w:color w:val="12212B"/>
          <w:sz w:val="19"/>
        </w:rPr>
        <w:t>fullName</w:t>
      </w:r>
      <w:r>
        <w:t xml:space="preserve">, </w:t>
      </w:r>
      <w:r>
        <w:rPr>
          <w:rFonts w:ascii="Consolas" w:hAnsi="Consolas"/>
          <w:color w:val="12212B"/>
          <w:sz w:val="19"/>
        </w:rPr>
        <w:t>bothPref</w:t>
      </w:r>
      <w:r>
        <w:t xml:space="preserve">, </w:t>
      </w:r>
      <w:r>
        <w:rPr>
          <w:rFonts w:ascii="Consolas" w:hAnsi="Consolas"/>
          <w:color w:val="12212B"/>
          <w:sz w:val="19"/>
        </w:rPr>
        <w:t>pref</w:t>
      </w:r>
      <w:r>
        <w:t>), per‑person super/insurance rows.</w:t>
      </w:r>
    </w:p>
    <w:p>
      <w:pPr>
        <w:pStyle w:val="ListBullet"/>
      </w:pPr>
      <w:r>
        <w:rPr>
          <w:b/>
        </w:rPr>
        <w:t>Strategy blocks (10):</w:t>
      </w:r>
      <w:r>
        <w:t xml:space="preserve"> debt, investment property, investment bond, investment plan, super,</w:t>
      </w:r>
    </w:p>
    <w:p>
      <w:r>
        <w:t xml:space="preserve">  super contributions, insurance, cashflow, admin, estate — each with templated wording in</w:t>
      </w:r>
    </w:p>
    <w:p>
      <w:r>
        <w:t xml:space="preserve">  </w:t>
      </w:r>
      <w:r>
        <w:rPr>
          <w:rFonts w:ascii="Consolas" w:hAnsi="Consolas"/>
          <w:color w:val="12212B"/>
          <w:sz w:val="19"/>
        </w:rPr>
        <w:t>STRAT_LIB</w:t>
      </w:r>
      <w:r>
        <w:t xml:space="preserve"> (recommendation / why / risks / alternatives / details).</w:t>
      </w:r>
    </w:p>
    <w:p>
      <w:pPr>
        <w:pStyle w:val="ListBullet"/>
      </w:pPr>
      <w:r>
        <w:rPr>
          <w:b/>
        </w:rPr>
        <w:t>Keyword→tailored wording:</w:t>
      </w:r>
      <w:r>
        <w:t xml:space="preserve"> *only debt* has it (</w:t>
      </w:r>
      <w:r>
        <w:rPr>
          <w:rFonts w:ascii="Consolas" w:hAnsi="Consolas"/>
          <w:color w:val="12212B"/>
          <w:sz w:val="19"/>
        </w:rPr>
        <w:t>DEBT_MODULES</w:t>
      </w:r>
      <w:r>
        <w:t xml:space="preserve"> + </w:t>
      </w:r>
      <w:r>
        <w:rPr>
          <w:rFonts w:ascii="Consolas" w:hAnsi="Consolas"/>
          <w:color w:val="12212B"/>
          <w:sz w:val="19"/>
        </w:rPr>
        <w:t>v192*</w:t>
      </w:r>
      <w:r>
        <w:t>/</w:t>
      </w:r>
      <w:r>
        <w:rPr>
          <w:rFonts w:ascii="Consolas" w:hAnsi="Consolas"/>
          <w:color w:val="12212B"/>
          <w:sz w:val="19"/>
        </w:rPr>
        <w:t>v194*</w:t>
      </w:r>
      <w:r>
        <w:t>). It's a proven</w:t>
      </w:r>
    </w:p>
    <w:p>
      <w:r>
        <w:t xml:space="preserve">  pattern: a module = </w:t>
      </w:r>
      <w:r>
        <w:rPr>
          <w:rFonts w:ascii="Consolas" w:hAnsi="Consolas"/>
          <w:color w:val="12212B"/>
          <w:sz w:val="19"/>
        </w:rPr>
        <w:t>{id, keyword regex, strat, outcome, risk[], alt[], gate}</w:t>
      </w:r>
      <w:r>
        <w:t>, and it syncs</w:t>
      </w:r>
    </w:p>
    <w:p>
      <w:r>
        <w:t xml:space="preserve">  </w:t>
      </w:r>
      <w:r>
        <w:rPr>
          <w:b/>
        </w:rPr>
        <w:t>Summary‑Strategies + Summary‑Outcomes + the Advice section</w:t>
      </w:r>
      <w:r>
        <w:t xml:space="preserve">, with gearing on/off and </w:t>
      </w:r>
      <w:r>
        <w:rPr>
          <w:rFonts w:ascii="Consolas" w:hAnsi="Consolas"/>
          <w:color w:val="12212B"/>
          <w:sz w:val="19"/>
        </w:rPr>
        <w:t>{amt}</w:t>
      </w:r>
    </w:p>
    <w:p>
      <w:r>
        <w:t xml:space="preserve">  figure injection. This is the template to generalise.</w:t>
      </w:r>
    </w:p>
    <w:p>
      <w:pPr>
        <w:pStyle w:val="ListBullet"/>
      </w:pPr>
      <w:r>
        <w:rPr>
          <w:b/>
        </w:rPr>
        <w:t>Importers:</w:t>
      </w:r>
      <w:r>
        <w:t xml:space="preserve"> projector JSON (fact‑find), advice request, CARE doc, WealthSolver, Risk Researcher,</w:t>
      </w:r>
    </w:p>
    <w:p>
      <w:r>
        <w:t xml:space="preserve">  ClearView/NEOS/insurer quotes, commission. Smart‑drop classifier routes each.</w:t>
      </w:r>
    </w:p>
    <w:p>
      <w:pPr>
        <w:pStyle w:val="ListBullet"/>
      </w:pPr>
      <w:r>
        <w:rPr>
          <w:b/>
        </w:rPr>
        <w:t>Platform/product:</w:t>
      </w:r>
      <w:r>
        <w:t xml:space="preserve"> Hub24 / Netwealth / CFS detection; CARE vs Vanguard heuristic</w:t>
      </w:r>
    </w:p>
    <w:p>
      <w:r>
        <w:t xml:space="preserve">  (</w:t>
      </w:r>
      <w:r>
        <w:rPr>
          <w:rFonts w:ascii="Consolas" w:hAnsi="Consolas"/>
          <w:color w:val="12212B"/>
          <w:sz w:val="19"/>
        </w:rPr>
        <w:t>v185InvestIsVanguard</w:t>
      </w:r>
      <w:r>
        <w:t>); CARE tiers (Essentials / Full / Genuine Edge).</w:t>
      </w:r>
    </w:p>
    <w:p>
      <w:pPr>
        <w:pStyle w:val="ListBullet"/>
      </w:pPr>
      <w:r>
        <w:rPr>
          <w:b/>
        </w:rPr>
        <w:t>Risk profile:</w:t>
      </w:r>
      <w:r>
        <w:t xml:space="preserve"> read from advice request "Notes to Risk Profile" incl. bump notation and</w:t>
      </w:r>
    </w:p>
    <w:p>
      <w:r>
        <w:t xml:space="preserve">  separate super vs investment profiles; also from CARE.</w:t>
      </w:r>
    </w:p>
    <w:p>
      <w:pPr>
        <w:pStyle w:val="ListBullet"/>
      </w:pPr>
      <w:r>
        <w:rPr>
          <w:b/>
        </w:rPr>
        <w:t>Fees:</w:t>
      </w:r>
      <w:r>
        <w:t xml:space="preserve"> advice + ongoing remuneration tables, tax‑adjusted (15% in super, MTR for cashflow).</w:t>
      </w:r>
    </w:p>
    <w:p>
      <w:pPr>
        <w:pStyle w:val="ListBullet"/>
      </w:pPr>
      <w:r>
        <w:rPr>
          <w:b/>
        </w:rPr>
        <w:t>Replacement tables:</w:t>
      </w:r>
      <w:r>
        <w:t xml:space="preserve"> structures exist for investment / super / insurance; auto‑fill from CARE +</w:t>
      </w:r>
    </w:p>
    <w:p>
      <w:r>
        <w:t xml:space="preserve">  WealthSolver.</w:t>
      </w:r>
    </w:p>
    <w:p>
      <w:r>
        <w:rPr>
          <w:b/>
        </w:rPr>
        <w:t>Weak / missing / broken:</w:t>
      </w:r>
    </w:p>
    <w:p>
      <w:pPr>
        <w:pStyle w:val="ListBullet"/>
      </w:pPr>
      <w:r>
        <w:rPr>
          <w:b/>
        </w:rPr>
        <w:t>Entity support is structurally incomplete.</w:t>
      </w:r>
      <w:r>
        <w:t xml:space="preserve"> </w:t>
      </w:r>
      <w:r>
        <w:rPr>
          <w:rFonts w:ascii="Consolas" w:hAnsi="Consolas"/>
          <w:color w:val="12212B"/>
          <w:sz w:val="19"/>
        </w:rPr>
        <w:t>clientType</w:t>
      </w:r>
      <w:r>
        <w:t xml:space="preserve"> is one of </w:t>
      </w:r>
      <w:r>
        <w:rPr>
          <w:rFonts w:ascii="Consolas" w:hAnsi="Consolas"/>
          <w:color w:val="12212B"/>
          <w:sz w:val="19"/>
        </w:rPr>
        <w:t>individual|joint|entity</w:t>
      </w:r>
      <w:r>
        <w:t xml:space="preserve"> —</w:t>
      </w:r>
    </w:p>
    <w:p>
      <w:r>
        <w:t xml:space="preserve">  mutually exclusive. So </w:t>
      </w:r>
      <w:r>
        <w:rPr>
          <w:b/>
        </w:rPr>
        <w:t>couple + entity (e.g. couple with an SMSF) breaks</w:t>
      </w:r>
      <w:r>
        <w:t>: switching to entity</w:t>
      </w:r>
    </w:p>
    <w:p>
      <w:r>
        <w:t xml:space="preserve">  loses the couple's names and partner rows. No ABN/ACN, no trustees/directors in core state (only a</w:t>
      </w:r>
    </w:p>
    <w:p>
      <w:r>
        <w:t xml:space="preserve">  v15 patch, not persisted). No </w:t>
      </w:r>
      <w:r>
        <w:rPr>
          <w:b/>
        </w:rPr>
        <w:t>ownership model</w:t>
      </w:r>
      <w:r>
        <w:t xml:space="preserve"> on assets/super/insurance (can't mark "held via</w:t>
      </w:r>
    </w:p>
    <w:p>
      <w:r>
        <w:t xml:space="preserve">  SMSF / company / trust" vs personally). Insurance/super owner enums have no entity options.</w:t>
      </w:r>
    </w:p>
    <w:p>
      <w:pPr>
        <w:pStyle w:val="ListBullet"/>
      </w:pPr>
      <w:r>
        <w:rPr>
          <w:b/>
        </w:rPr>
        <w:t>Tailored‑wording engine only covers debt.</w:t>
      </w:r>
      <w:r>
        <w:t xml:space="preserve"> Every other scenario you named (inspecie transfer,</w:t>
      </w:r>
    </w:p>
    <w:p>
      <w:r>
        <w:t xml:space="preserve">  sell‑to‑buy, upgrade home, convert home → IP, inheritance → pay down loan, …) has no trigger/word‑</w:t>
      </w:r>
    </w:p>
    <w:p>
      <w:r>
        <w:t xml:space="preserve">  bank path.</w:t>
      </w:r>
    </w:p>
    <w:p>
      <w:pPr>
        <w:pStyle w:val="ListBullet"/>
      </w:pPr>
      <w:r>
        <w:rPr>
          <w:b/>
        </w:rPr>
        <w:t>Word bank is hardcoded</w:t>
      </w:r>
      <w:r>
        <w:t xml:space="preserve"> in the HTML (</w:t>
      </w:r>
      <w:r>
        <w:rPr>
          <w:rFonts w:ascii="Consolas" w:hAnsi="Consolas"/>
          <w:color w:val="12212B"/>
          <w:sz w:val="19"/>
        </w:rPr>
        <w:t>STRAT_LIB</w:t>
      </w:r>
      <w:r>
        <w:t xml:space="preserve">, </w:t>
      </w:r>
      <w:r>
        <w:rPr>
          <w:rFonts w:ascii="Consolas" w:hAnsi="Consolas"/>
          <w:color w:val="12212B"/>
          <w:sz w:val="19"/>
        </w:rPr>
        <w:t>DEBT_MODULES</w:t>
      </w:r>
      <w:r>
        <w:t>). Paraplanners can't maintain</w:t>
      </w:r>
    </w:p>
    <w:p>
      <w:r>
        <w:t xml:space="preserve">  wording without editing code.</w:t>
      </w:r>
    </w:p>
    <w:p>
      <w:pPr>
        <w:pStyle w:val="ListBullet"/>
      </w:pPr>
      <w:r>
        <w:rPr>
          <w:b/>
        </w:rPr>
        <w:t>No fee‑differential calc.</w:t>
      </w:r>
      <w:r>
        <w:t xml:space="preserve"> The admin+management fee **increase/decrease between recommended and</w:t>
      </w:r>
    </w:p>
    <w:p>
      <w:r>
        <w:t xml:space="preserve">  current super** is not computed — the replacement table has the cells but no differential figure.</w:t>
      </w:r>
    </w:p>
    <w:p>
      <w:pPr>
        <w:pStyle w:val="ListBullet"/>
      </w:pPr>
      <w:r>
        <w:rPr>
          <w:b/>
        </w:rPr>
        <w:t>Replacement implications</w:t>
      </w:r>
      <w:r>
        <w:t xml:space="preserve"> need verification for accuracy (CGT/exit costs, lost benefits, like‑</w:t>
      </w:r>
    </w:p>
    <w:p>
      <w:r>
        <w:t xml:space="preserve">  for‑like notes) across investment/super/insurance.</w:t>
      </w:r>
    </w:p>
    <w:p>
      <w:pPr>
        <w:pStyle w:val="ListBullet"/>
      </w:pPr>
      <w:r>
        <w:rPr>
          <w:b/>
        </w:rPr>
        <w:t>Product delineation</w:t>
      </w:r>
      <w:r>
        <w:t xml:space="preserve"> (Vanguard vs CARE; *Vanguard Diversified* vs a specific Vanguard fund) relies</w:t>
      </w:r>
    </w:p>
    <w:p>
      <w:r>
        <w:t xml:space="preserve">  on heuristics — needs a robust taxonomy.</w:t>
      </w:r>
    </w:p>
    <w:p>
      <w:pPr>
        <w:pStyle w:val="ListBullet"/>
      </w:pPr>
      <w:r>
        <w:rPr>
          <w:b/>
        </w:rPr>
        <w:t>No systematic verification harness</w:t>
      </w:r>
      <w:r>
        <w:t xml:space="preserve"> across entity types × strategy combinations.</w:t>
      </w:r>
    </w:p>
    <w:p/>
    <w:p>
      <w:pPr>
        <w:pStyle w:val="Heading1"/>
      </w:pPr>
      <w:r>
        <w:rPr>
          <w:color w:val="0C2E3F"/>
        </w:rPr>
        <w:t>2. The core idea — one engine, one word bank</w:t>
      </w:r>
    </w:p>
    <w:p>
      <w:r>
        <w:t>Two architectural moves unlock almost everything you asked for:</w:t>
      </w:r>
    </w:p>
    <w:p>
      <w:pPr>
        <w:pStyle w:val="Heading2"/>
      </w:pPr>
      <w:r>
        <w:rPr>
          <w:color w:val="0C2E3F"/>
        </w:rPr>
        <w:t>A. Generalise the debt‑module pattern into a universal **Strategy Module Engine**</w:t>
      </w:r>
    </w:p>
    <w:p>
      <w:r>
        <w:t>A single engine (</w:t>
      </w:r>
      <w:r>
        <w:rPr>
          <w:rFonts w:ascii="Consolas" w:hAnsi="Consolas"/>
          <w:color w:val="12212B"/>
          <w:sz w:val="19"/>
        </w:rPr>
        <w:t>v200</w:t>
      </w:r>
      <w:r>
        <w:t xml:space="preserve">) that, for </w:t>
      </w:r>
      <w:r>
        <w:rPr>
          <w:b/>
        </w:rPr>
        <w:t>any</w:t>
      </w:r>
      <w:r>
        <w:t xml:space="preserve"> strategy area, takes the advice‑request text and:</w:t>
      </w:r>
    </w:p>
    <w:p>
      <w:pPr>
        <w:pStyle w:val="ListNumber"/>
      </w:pPr>
      <w:r>
        <w:t xml:space="preserve">matches </w:t>
      </w:r>
      <w:r>
        <w:rPr>
          <w:b/>
        </w:rPr>
        <w:t>modules</w:t>
      </w:r>
      <w:r>
        <w:t xml:space="preserve"> (keyword‑triggered tailored wording),</w:t>
      </w:r>
    </w:p>
    <w:p>
      <w:pPr>
        <w:pStyle w:val="ListNumber"/>
      </w:pPr>
      <w:r>
        <w:t xml:space="preserve">respects </w:t>
      </w:r>
      <w:r>
        <w:rPr>
          <w:b/>
        </w:rPr>
        <w:t>scope gates</w:t>
      </w:r>
      <w:r>
        <w:t xml:space="preserve"> (e.g. gearing only if gearing scoped; deposit only if IP purchase scoped),</w:t>
      </w:r>
    </w:p>
    <w:p>
      <w:pPr>
        <w:pStyle w:val="ListNumber"/>
      </w:pPr>
      <w:r>
        <w:t xml:space="preserve">fills </w:t>
      </w:r>
      <w:r>
        <w:rPr>
          <w:b/>
        </w:rPr>
        <w:t>figures</w:t>
      </w:r>
      <w:r>
        <w:t xml:space="preserve"> from the request/JSON (</w:t>
      </w:r>
      <w:r>
        <w:rPr>
          <w:rFonts w:ascii="Consolas" w:hAnsi="Consolas"/>
          <w:color w:val="12212B"/>
          <w:sz w:val="19"/>
        </w:rPr>
        <w:t>{amt}</w:t>
      </w:r>
      <w:r>
        <w:t>, loan limits, fee differentials),</w:t>
      </w:r>
    </w:p>
    <w:p>
      <w:pPr>
        <w:pStyle w:val="ListNumber"/>
      </w:pPr>
      <w:r>
        <w:rPr>
          <w:b/>
        </w:rPr>
        <w:t>syncs</w:t>
      </w:r>
      <w:r>
        <w:t xml:space="preserve"> Summary‑Strategies + Summary‑Outcomes + the Advice section (recommendation / why /</w:t>
      </w:r>
    </w:p>
    <w:p>
      <w:r>
        <w:t xml:space="preserve">   risks / alternatives), and</w:t>
      </w:r>
    </w:p>
    <w:p>
      <w:pPr>
        <w:pStyle w:val="ListNumber"/>
      </w:pPr>
      <w:r>
        <w:t xml:space="preserve">distinguishes </w:t>
      </w:r>
      <w:r>
        <w:rPr>
          <w:b/>
        </w:rPr>
        <w:t>templated wording that always appears</w:t>
      </w:r>
      <w:r>
        <w:t xml:space="preserve"> from </w:t>
      </w:r>
      <w:r>
        <w:rPr>
          <w:b/>
        </w:rPr>
        <w:t>tailored wording added on trigger</w:t>
      </w:r>
      <w:r>
        <w:t>.</w:t>
      </w:r>
    </w:p>
    <w:p>
      <w:r>
        <w:t>A module schema (superset of today's debt module):</w:t>
      </w:r>
    </w:p>
    <w:p>
      <w:r>
        <w:rPr>
          <w:rFonts w:ascii="Consolas" w:hAnsi="Consolas"/>
          <w:color w:val="12212B"/>
          <w:sz w:val="19"/>
        </w:rPr>
      </w:r>
      <w:r>
        <w:rPr>
          <w:rFonts w:ascii="Consolas" w:hAnsi="Consolas"/>
          <w:color w:val="12212B"/>
          <w:sz w:val="19"/>
        </w:rPr>
      </w:r>
    </w:p>
    <w:p>
      <w:r>
        <w:t>{</w:t>
      </w:r>
    </w:p>
    <w:p>
      <w:r>
        <w:t xml:space="preserve">  id, area,                       // 'property', 'invest', 'super', 'insurance', 'cashflow', 'debt'…</w:t>
      </w:r>
    </w:p>
    <w:p>
      <w:r>
        <w:t xml:space="preserve">  triggers: [/regex/, …],         // advice-request keywords/synonyms</w:t>
      </w:r>
    </w:p>
    <w:p>
      <w:r>
        <w:t xml:space="preserve">  gate,                           // optional scope condition (fn)</w:t>
      </w:r>
    </w:p>
    <w:p>
      <w:r>
        <w:t xml:space="preserve">  strat, outcome,                 // Summary-Strategies + Summary-Outcomes lines</w:t>
      </w:r>
    </w:p>
    <w:p>
      <w:r>
        <w:t xml:space="preserve">  why[], risk[], alt[],           // Advice-section bullets</w:t>
      </w:r>
    </w:p>
    <w:p>
      <w:r>
        <w:t xml:space="preserve">  figures: [{token, extract}],    // {amt}, {limit}, {feeDiff}… pulled from request/JSON</w:t>
      </w:r>
    </w:p>
    <w:p>
      <w:r>
        <w:t xml:space="preserve">  needs: ['table:loanLimit', …],  // tables/calcs this module requires</w:t>
      </w:r>
    </w:p>
    <w:p>
      <w:r>
        <w:t xml:space="preserve">  variantOf,                      // product/platform variant (e.g. Vanguard vs CARE)</w:t>
      </w:r>
    </w:p>
    <w:p>
      <w:r>
        <w:t>}</w:t>
      </w:r>
    </w:p>
    <w:p>
      <w:r>
        <w:rPr>
          <w:rFonts w:ascii="Consolas" w:hAnsi="Consolas"/>
          <w:color w:val="12212B"/>
          <w:sz w:val="19"/>
        </w:rPr>
      </w:r>
      <w:r>
        <w:rPr>
          <w:rFonts w:ascii="Consolas" w:hAnsi="Consolas"/>
          <w:color w:val="12212B"/>
          <w:sz w:val="19"/>
        </w:rPr>
      </w:r>
    </w:p>
    <w:p>
      <w:r>
        <w:t>The debt modules migrate into this engine unchanged in behaviour (parity test), then property /</w:t>
      </w:r>
    </w:p>
    <w:p>
      <w:r>
        <w:t>investment / super / insurance / cashflow get their own module sets.</w:t>
      </w:r>
    </w:p>
    <w:p>
      <w:pPr>
        <w:pStyle w:val="Heading2"/>
      </w:pPr>
      <w:r>
        <w:rPr>
          <w:color w:val="0C2E3F"/>
        </w:rPr>
        <w:t>B. Externalise the **word bank**</w:t>
      </w:r>
    </w:p>
    <w:p>
      <w:r>
        <w:t xml:space="preserve">Move all tailored wording out of the HTML into a single editable </w:t>
      </w:r>
      <w:r>
        <w:rPr>
          <w:b/>
        </w:rPr>
        <w:t>word‑bank file</w:t>
      </w:r>
      <w:r>
        <w:t xml:space="preserve"> (JSON, or a</w:t>
      </w:r>
    </w:p>
    <w:p>
      <w:r>
        <w:t>droppable "Word Bank" doc) that the tool loads. Benefits: paraplanners edit wording without touching</w:t>
      </w:r>
    </w:p>
    <w:p>
      <w:r>
        <w:t>code, it's versionable, and the same bank drives preview + Word export. The engine is only as good as</w:t>
      </w:r>
    </w:p>
    <w:p>
      <w:r>
        <w:t>this bank — so this is the highest‑leverage artefact you can give me.</w:t>
      </w:r>
    </w:p>
    <w:p/>
    <w:p>
      <w:pPr>
        <w:pStyle w:val="Heading1"/>
      </w:pPr>
      <w:r>
        <w:rPr>
          <w:color w:val="0C2E3F"/>
        </w:rPr>
        <w:t>3. Phased plan (with to‑do / verify lists)</w:t>
      </w:r>
    </w:p>
    <w:p>
      <w:pPr>
        <w:pStyle w:val="Heading2"/>
      </w:pPr>
      <w:r>
        <w:rPr>
          <w:color w:val="0C2E3F"/>
        </w:rPr>
        <w:t>Phase 0 — Engine + word bank foundation</w:t>
      </w:r>
    </w:p>
    <w:p>
      <w:pPr>
        <w:pStyle w:val="ListBullet"/>
      </w:pPr>
      <w:r>
        <w:t>☐ Define the module schema + word‑bank format (above).</w:t>
      </w:r>
    </w:p>
    <w:p>
      <w:pPr>
        <w:pStyle w:val="ListBullet"/>
      </w:pPr>
      <w:r>
        <w:t xml:space="preserve">☐ Build </w:t>
      </w:r>
      <w:r>
        <w:rPr>
          <w:rFonts w:ascii="Consolas" w:hAnsi="Consolas"/>
          <w:color w:val="12212B"/>
          <w:sz w:val="19"/>
        </w:rPr>
        <w:t>v200</w:t>
      </w:r>
      <w:r>
        <w:t xml:space="preserve"> engine: </w:t>
      </w:r>
      <w:r>
        <w:rPr>
          <w:rFonts w:ascii="Consolas" w:hAnsi="Consolas"/>
          <w:color w:val="12212B"/>
          <w:sz w:val="19"/>
        </w:rPr>
        <w:t>matchModules(area, text)</w:t>
      </w:r>
      <w:r>
        <w:t xml:space="preserve">, </w:t>
      </w:r>
      <w:r>
        <w:rPr>
          <w:rFonts w:ascii="Consolas" w:hAnsi="Consolas"/>
          <w:color w:val="12212B"/>
          <w:sz w:val="19"/>
        </w:rPr>
        <w:t>activeModules(area)</w:t>
      </w:r>
      <w:r>
        <w:t xml:space="preserve">, </w:t>
      </w:r>
      <w:r>
        <w:rPr>
          <w:rFonts w:ascii="Consolas" w:hAnsi="Consolas"/>
          <w:color w:val="12212B"/>
          <w:sz w:val="19"/>
        </w:rPr>
        <w:t>buildAreaWording(area)</w:t>
      </w:r>
    </w:p>
    <w:p>
      <w:r>
        <w:t xml:space="preserve">      — generalising </w:t>
      </w:r>
      <w:r>
        <w:rPr>
          <w:rFonts w:ascii="Consolas" w:hAnsi="Consolas"/>
          <w:color w:val="12212B"/>
          <w:sz w:val="19"/>
        </w:rPr>
        <w:t>v192MatchDebtModules</w:t>
      </w:r>
      <w:r>
        <w:t xml:space="preserve"> / </w:t>
      </w:r>
      <w:r>
        <w:rPr>
          <w:rFonts w:ascii="Consolas" w:hAnsi="Consolas"/>
          <w:color w:val="12212B"/>
          <w:sz w:val="19"/>
        </w:rPr>
        <w:t>v194BuildDebtWording</w:t>
      </w:r>
      <w:r>
        <w:t>.</w:t>
      </w:r>
    </w:p>
    <w:p>
      <w:pPr>
        <w:pStyle w:val="ListBullet"/>
      </w:pPr>
      <w:r>
        <w:t xml:space="preserve">☐ Migrate debt into the engine; </w:t>
      </w:r>
      <w:r>
        <w:rPr>
          <w:b/>
        </w:rPr>
        <w:t>verify byte‑for‑byte parity</w:t>
      </w:r>
      <w:r>
        <w:t xml:space="preserve"> with current debt output.</w:t>
      </w:r>
    </w:p>
    <w:p>
      <w:pPr>
        <w:pStyle w:val="ListBullet"/>
      </w:pPr>
      <w:r>
        <w:t>☐ Load the word bank from an editable source; fall back to built‑in if absent.</w:t>
      </w:r>
    </w:p>
    <w:p>
      <w:pPr>
        <w:pStyle w:val="Heading2"/>
      </w:pPr>
      <w:r>
        <w:rPr>
          <w:color w:val="0C2E3F"/>
        </w:rPr>
        <w:t>Phase 1 — Entity / ownership model</w:t>
      </w:r>
    </w:p>
    <w:p>
      <w:pPr>
        <w:pStyle w:val="ListBullet"/>
      </w:pPr>
      <w:r>
        <w:t xml:space="preserve">☐ Add an </w:t>
      </w:r>
      <w:r>
        <w:rPr>
          <w:b/>
        </w:rPr>
        <w:t>ownership layer</w:t>
      </w:r>
      <w:r>
        <w:t>: every asset/super/insurance/loan row carries `owner ∈ {client,</w:t>
      </w:r>
    </w:p>
    <w:p>
      <w:r>
        <w:t xml:space="preserve">      partner, joint, entity:&lt;id&gt;}`.</w:t>
      </w:r>
    </w:p>
    <w:p>
      <w:pPr>
        <w:pStyle w:val="ListBullet"/>
      </w:pPr>
      <w:r>
        <w:t xml:space="preserve">☐ Support </w:t>
      </w:r>
      <w:r>
        <w:rPr>
          <w:b/>
        </w:rPr>
        <w:t>multiple entities</w:t>
      </w:r>
      <w:r>
        <w:t xml:space="preserve">: </w:t>
      </w:r>
      <w:r>
        <w:rPr>
          <w:rFonts w:ascii="Consolas" w:hAnsi="Consolas"/>
          <w:color w:val="12212B"/>
          <w:sz w:val="19"/>
        </w:rPr>
        <w:t>F.entities=[{id,type,name,abn,members/trustees/directors}]</w:t>
      </w:r>
      <w:r>
        <w:t>, so a</w:t>
      </w:r>
    </w:p>
    <w:p>
      <w:r>
        <w:t xml:space="preserve">      couple can hold an SMSF *and* a company alongside personal assets.</w:t>
      </w:r>
    </w:p>
    <w:p>
      <w:pPr>
        <w:pStyle w:val="ListBullet"/>
      </w:pPr>
      <w:r>
        <w:t xml:space="preserve">☐ Make </w:t>
      </w:r>
      <w:r>
        <w:rPr>
          <w:rFonts w:ascii="Consolas" w:hAnsi="Consolas"/>
          <w:color w:val="12212B"/>
          <w:sz w:val="19"/>
        </w:rPr>
        <w:t>clientType</w:t>
      </w:r>
      <w:r>
        <w:t xml:space="preserve"> orthogonal: persons (single/couple) + entities[]. Pronoun/name engine resolves</w:t>
      </w:r>
    </w:p>
    <w:p>
      <w:r>
        <w:t xml:space="preserve">      the </w:t>
      </w:r>
      <w:r>
        <w:rPr>
          <w:b/>
        </w:rPr>
        <w:t>subject per section</w:t>
      </w:r>
      <w:r>
        <w:t xml:space="preserve"> (e.g. "the trustees of the Fund", "you", "ABC Pty Ltd").</w:t>
      </w:r>
    </w:p>
    <w:p>
      <w:pPr>
        <w:pStyle w:val="ListBullet"/>
      </w:pPr>
      <w:r>
        <w:t xml:space="preserve">☐ Add entity fields (ABN/ACN, trustees/directors) to </w:t>
      </w:r>
      <w:r>
        <w:rPr>
          <w:b/>
        </w:rPr>
        <w:t>core state</w:t>
      </w:r>
      <w:r>
        <w:t>, UI, and JSON detection.</w:t>
      </w:r>
    </w:p>
    <w:p>
      <w:pPr>
        <w:pStyle w:val="ListBullet"/>
      </w:pPr>
      <w:r>
        <w:t xml:space="preserve">☐ </w:t>
      </w:r>
      <w:r>
        <w:rPr>
          <w:b/>
        </w:rPr>
        <w:t>Verify</w:t>
      </w:r>
      <w:r>
        <w:t xml:space="preserve"> the five shapes: single; couple; entity‑only; couple + SMSF; single + company.</w:t>
      </w:r>
    </w:p>
    <w:p>
      <w:pPr>
        <w:pStyle w:val="Heading2"/>
      </w:pPr>
      <w:r>
        <w:rPr>
          <w:color w:val="0C2E3F"/>
        </w:rPr>
        <w:t>Phase 2 — Strategy coverage (author the modules)  ← needs your word bank + sample SOAs</w:t>
      </w:r>
    </w:p>
    <w:p>
      <w:pPr>
        <w:pStyle w:val="ListBullet"/>
      </w:pPr>
      <w:r>
        <w:t xml:space="preserve">☐ </w:t>
      </w:r>
      <w:r>
        <w:rPr>
          <w:b/>
        </w:rPr>
        <w:t>Property:</w:t>
      </w:r>
      <w:r>
        <w:t xml:space="preserve"> existing vs proposed; sell‑to‑buy; upgrade home; convert home → investment</w:t>
      </w:r>
    </w:p>
    <w:p>
      <w:r>
        <w:t xml:space="preserve">      property; inspecie transfer; downsizer; etc.</w:t>
      </w:r>
    </w:p>
    <w:p>
      <w:pPr>
        <w:pStyle w:val="ListBullet"/>
      </w:pPr>
      <w:r>
        <w:t xml:space="preserve">☐ </w:t>
      </w:r>
      <w:r>
        <w:rPr>
          <w:b/>
        </w:rPr>
        <w:t>Investment plan:</w:t>
      </w:r>
      <w:r>
        <w:t xml:space="preserve"> regular investment; debt recycling; lump‑sum; inheritance → invest /</w:t>
      </w:r>
    </w:p>
    <w:p>
      <w:r>
        <w:t xml:space="preserve">      → pay down loan; gearing variants.</w:t>
      </w:r>
    </w:p>
    <w:p>
      <w:pPr>
        <w:pStyle w:val="ListBullet"/>
      </w:pPr>
      <w:r>
        <w:t xml:space="preserve">☐ </w:t>
      </w:r>
      <w:r>
        <w:rPr>
          <w:b/>
        </w:rPr>
        <w:t>Super:</w:t>
      </w:r>
      <w:r>
        <w:t xml:space="preserve"> establish/rollover (full/partial/retain‑minimum); consolidation; inspecie transfer;</w:t>
      </w:r>
    </w:p>
    <w:p>
      <w:r>
        <w:t xml:space="preserve">      pension/TTR; SMSF setup.</w:t>
      </w:r>
    </w:p>
    <w:p>
      <w:pPr>
        <w:pStyle w:val="ListBullet"/>
      </w:pPr>
      <w:r>
        <w:t xml:space="preserve">☐ </w:t>
      </w:r>
      <w:r>
        <w:rPr>
          <w:b/>
        </w:rPr>
        <w:t>Super contributions:</w:t>
      </w:r>
      <w:r>
        <w:t xml:space="preserve"> concessional / salary sacrifice / non‑concessional / carry‑forward /</w:t>
      </w:r>
    </w:p>
    <w:p>
      <w:r>
        <w:t xml:space="preserve">      bring‑forward / spouse / downsizer / contribution splitting.</w:t>
      </w:r>
    </w:p>
    <w:p>
      <w:pPr>
        <w:pStyle w:val="ListBullet"/>
      </w:pPr>
      <w:r>
        <w:t xml:space="preserve">☐ </w:t>
      </w:r>
      <w:r>
        <w:rPr>
          <w:b/>
        </w:rPr>
        <w:t>Insurance:</w:t>
      </w:r>
      <w:r>
        <w:t xml:space="preserve"> new / increase / replace / takeover / inside‑super vs personal / cancel.</w:t>
      </w:r>
    </w:p>
    <w:p>
      <w:pPr>
        <w:pStyle w:val="ListBullet"/>
      </w:pPr>
      <w:r>
        <w:t xml:space="preserve">☐ </w:t>
      </w:r>
      <w:r>
        <w:rPr>
          <w:b/>
        </w:rPr>
        <w:t>Cashflow &amp; budgeting; estate planning.</w:t>
      </w:r>
    </w:p>
    <w:p>
      <w:pPr>
        <w:pStyle w:val="ListBullet"/>
      </w:pPr>
      <w:r>
        <w:t>☐ Each module supplies recommendation, why/outcome, risks, alternatives, required figures/tables,</w:t>
      </w:r>
    </w:p>
    <w:p>
      <w:r>
        <w:t xml:space="preserve">      and its scope gate. </w:t>
      </w:r>
      <w:r>
        <w:rPr>
          <w:b/>
        </w:rPr>
        <w:t>Verify</w:t>
      </w:r>
      <w:r>
        <w:t xml:space="preserve"> each triggers correctly and is omitted when not scoped.</w:t>
      </w:r>
    </w:p>
    <w:p>
      <w:pPr>
        <w:pStyle w:val="Heading2"/>
      </w:pPr>
      <w:r>
        <w:rPr>
          <w:color w:val="0C2E3F"/>
        </w:rPr>
        <w:t>Phase 3 — Calculations &amp; tables</w:t>
      </w:r>
    </w:p>
    <w:p>
      <w:pPr>
        <w:pStyle w:val="ListBullet"/>
      </w:pPr>
      <w:r>
        <w:t xml:space="preserve">☐ </w:t>
      </w:r>
      <w:r>
        <w:rPr>
          <w:b/>
        </w:rPr>
        <w:t>Fee differential (missing):</w:t>
      </w:r>
      <w:r>
        <w:t xml:space="preserve"> compute the increase/decrease in </w:t>
      </w:r>
      <w:r>
        <w:rPr>
          <w:b/>
        </w:rPr>
        <w:t>admin + management fees</w:t>
      </w:r>
    </w:p>
    <w:p>
      <w:r>
        <w:t xml:space="preserve">      between recommended and current super/investment; feed the replacement table + a "fee comparison"</w:t>
      </w:r>
    </w:p>
    <w:p>
      <w:r>
        <w:t xml:space="preserve">      line, after‑tax where relevant.</w:t>
      </w:r>
    </w:p>
    <w:p>
      <w:pPr>
        <w:pStyle w:val="ListBullet"/>
      </w:pPr>
      <w:r>
        <w:t xml:space="preserve">☐ </w:t>
      </w:r>
      <w:r>
        <w:rPr>
          <w:b/>
        </w:rPr>
        <w:t>Loan limits:</w:t>
      </w:r>
      <w:r>
        <w:t xml:space="preserve"> done for the term loan; extend to refinance / equity‑release rows.</w:t>
      </w:r>
    </w:p>
    <w:p>
      <w:pPr>
        <w:pStyle w:val="ListBullet"/>
      </w:pPr>
      <w:r>
        <w:t xml:space="preserve">☐ </w:t>
      </w:r>
      <w:r>
        <w:rPr>
          <w:b/>
        </w:rPr>
        <w:t>Replacement implications</w:t>
      </w:r>
      <w:r>
        <w:t xml:space="preserve"> (invest/super/insurance): verify CGT / exit costs / lost benefits /</w:t>
      </w:r>
    </w:p>
    <w:p>
      <w:r>
        <w:t xml:space="preserve">      like‑for‑like notes fill accurately; partner/entity columns correct.</w:t>
      </w:r>
    </w:p>
    <w:p>
      <w:pPr>
        <w:pStyle w:val="ListBullet"/>
      </w:pPr>
      <w:r>
        <w:t xml:space="preserve">☐ </w:t>
      </w:r>
      <w:r>
        <w:rPr>
          <w:b/>
        </w:rPr>
        <w:t>Auto‑populate</w:t>
      </w:r>
      <w:r>
        <w:t xml:space="preserve"> all product / cost / projection / allocation tables; verify **preview ↔ Word</w:t>
      </w:r>
    </w:p>
    <w:p>
      <w:r>
        <w:t xml:space="preserve">      parity**.</w:t>
      </w:r>
    </w:p>
    <w:p>
      <w:pPr>
        <w:pStyle w:val="Heading2"/>
      </w:pPr>
      <w:r>
        <w:rPr>
          <w:color w:val="0C2E3F"/>
        </w:rPr>
        <w:t>Phase 4 — Platform / product delineation</w:t>
      </w:r>
    </w:p>
    <w:p>
      <w:pPr>
        <w:pStyle w:val="ListBullet"/>
      </w:pPr>
      <w:r>
        <w:t xml:space="preserve">☐ Product taxonomy: </w:t>
      </w:r>
      <w:r>
        <w:rPr>
          <w:b/>
        </w:rPr>
        <w:t>platform</w:t>
      </w:r>
      <w:r>
        <w:t xml:space="preserve"> (Hub24/Netwealth/CFS/BT) × </w:t>
      </w:r>
      <w:r>
        <w:rPr>
          <w:b/>
        </w:rPr>
        <w:t>approach</w:t>
      </w:r>
      <w:r>
        <w:t xml:space="preserve"> (CARE vs Vanguard/index</w:t>
      </w:r>
    </w:p>
    <w:p>
      <w:r>
        <w:t xml:space="preserve">      vs other) × </w:t>
      </w:r>
      <w:r>
        <w:rPr>
          <w:b/>
        </w:rPr>
        <w:t>specific fund</w:t>
      </w:r>
      <w:r>
        <w:t xml:space="preserve"> (e.g. *Vanguard Diversified* vs a single Vanguard fund).</w:t>
      </w:r>
    </w:p>
    <w:p>
      <w:pPr>
        <w:pStyle w:val="ListBullet"/>
      </w:pPr>
      <w:r>
        <w:t>☐ Drive product tables + wording variants from the taxonomy (so "Vanguard instead of CARE" and</w:t>
      </w:r>
    </w:p>
    <w:p>
      <w:r>
        <w:t xml:space="preserve">      "Vanguard Diversified instead of Vanguard" both render correctly).</w:t>
      </w:r>
    </w:p>
    <w:p>
      <w:pPr>
        <w:pStyle w:val="Heading2"/>
      </w:pPr>
      <w:r>
        <w:rPr>
          <w:color w:val="0C2E3F"/>
        </w:rPr>
        <w:t>Phase 5 — Verification harness &amp; compliance</w:t>
      </w:r>
    </w:p>
    <w:p>
      <w:pPr>
        <w:pStyle w:val="ListBullet"/>
      </w:pPr>
      <w:r>
        <w:t xml:space="preserve">☐ Build a </w:t>
      </w:r>
      <w:r>
        <w:rPr>
          <w:b/>
        </w:rPr>
        <w:t>test matrix</w:t>
      </w:r>
      <w:r>
        <w:t>: entity types × strategy combos × supporting docs, run headless‑browser</w:t>
      </w:r>
    </w:p>
    <w:p>
      <w:r>
        <w:t xml:space="preserve">      fixtures with assertions.</w:t>
      </w:r>
    </w:p>
    <w:p>
      <w:pPr>
        <w:pStyle w:val="ListBullet"/>
      </w:pPr>
      <w:r>
        <w:t xml:space="preserve">☐ </w:t>
      </w:r>
      <w:r>
        <w:rPr>
          <w:b/>
        </w:rPr>
        <w:t>Placeholder‑leak guard:</w:t>
      </w:r>
      <w:r>
        <w:t xml:space="preserve"> no </w:t>
      </w:r>
      <w:r>
        <w:rPr>
          <w:rFonts w:ascii="Consolas" w:hAnsi="Consolas"/>
          <w:color w:val="12212B"/>
          <w:sz w:val="19"/>
        </w:rPr>
        <w:t>$XXX</w:t>
      </w:r>
      <w:r>
        <w:t xml:space="preserve"> / </w:t>
      </w:r>
      <w:r>
        <w:rPr>
          <w:rFonts w:ascii="Consolas" w:hAnsi="Consolas"/>
          <w:color w:val="12212B"/>
          <w:sz w:val="19"/>
        </w:rPr>
        <w:t>[bracket]</w:t>
      </w:r>
      <w:r>
        <w:t xml:space="preserve"> / </w:t>
      </w:r>
      <w:r>
        <w:rPr>
          <w:rFonts w:ascii="Consolas" w:hAnsi="Consolas"/>
          <w:color w:val="12212B"/>
          <w:sz w:val="19"/>
        </w:rPr>
        <w:t>XX</w:t>
      </w:r>
      <w:r>
        <w:t xml:space="preserve"> survives to export.</w:t>
      </w:r>
    </w:p>
    <w:p>
      <w:pPr>
        <w:pStyle w:val="ListBullet"/>
      </w:pPr>
      <w:r>
        <w:t xml:space="preserve">☐ </w:t>
      </w:r>
      <w:r>
        <w:rPr>
          <w:b/>
        </w:rPr>
        <w:t>Completeness check:</w:t>
      </w:r>
      <w:r>
        <w:t xml:space="preserve"> every active strategy has recommendation + why + risks + alternatives.</w:t>
      </w:r>
    </w:p>
    <w:p>
      <w:pPr>
        <w:pStyle w:val="ListBullet"/>
      </w:pPr>
      <w:r>
        <w:t xml:space="preserve">☐ </w:t>
      </w:r>
      <w:r>
        <w:rPr>
          <w:b/>
        </w:rPr>
        <w:t>Conflict detection:</w:t>
      </w:r>
      <w:r>
        <w:t xml:space="preserve"> advice request vs JSON (fees, risk profile, platform) — surface, don't</w:t>
      </w:r>
    </w:p>
    <w:p>
      <w:r>
        <w:t xml:space="preserve">      silently pick.</w:t>
      </w:r>
    </w:p>
    <w:p>
      <w:pPr>
        <w:pStyle w:val="ListBullet"/>
      </w:pPr>
      <w:r>
        <w:t xml:space="preserve">☐ </w:t>
      </w:r>
      <w:r>
        <w:rPr>
          <w:b/>
        </w:rPr>
        <w:t>Unmatched‑instruction flag:</w:t>
      </w:r>
      <w:r>
        <w:t xml:space="preserve"> if an advice‑request line matches no module, flag it for manual</w:t>
      </w:r>
    </w:p>
    <w:p>
      <w:r>
        <w:t xml:space="preserve">      wording instead of dropping it.</w:t>
      </w:r>
    </w:p>
    <w:p/>
    <w:p>
      <w:pPr>
        <w:pStyle w:val="Heading1"/>
      </w:pPr>
      <w:r>
        <w:rPr>
          <w:color w:val="0C2E3F"/>
        </w:rPr>
        <w:t>4. Things worth considering (you may not have)</w:t>
      </w:r>
    </w:p>
    <w:p>
      <w:pPr>
        <w:pStyle w:val="ListNumber"/>
      </w:pPr>
      <w:r>
        <w:rPr>
          <w:b/>
        </w:rPr>
        <w:t>Ownership/entity as a first‑class layer</w:t>
      </w:r>
      <w:r>
        <w:t xml:space="preserve">, not a </w:t>
      </w:r>
      <w:r>
        <w:rPr>
          <w:rFonts w:ascii="Consolas" w:hAnsi="Consolas"/>
          <w:color w:val="12212B"/>
          <w:sz w:val="19"/>
        </w:rPr>
        <w:t>clientType</w:t>
      </w:r>
      <w:r>
        <w:t xml:space="preserve"> flag — required for couple + SMSF,</w:t>
      </w:r>
    </w:p>
    <w:p>
      <w:r>
        <w:t xml:space="preserve">   and for correct tax/contribution treatment.</w:t>
      </w:r>
    </w:p>
    <w:p>
      <w:pPr>
        <w:pStyle w:val="ListNumber"/>
      </w:pPr>
      <w:r>
        <w:rPr>
          <w:b/>
        </w:rPr>
        <w:t>Externalise + version the word bank</w:t>
      </w:r>
      <w:r>
        <w:t xml:space="preserve"> so paraplanners maintain it; keep an audit trail of wording</w:t>
      </w:r>
    </w:p>
    <w:p>
      <w:r>
        <w:t xml:space="preserve">   changes.</w:t>
      </w:r>
    </w:p>
    <w:p>
      <w:pPr>
        <w:pStyle w:val="ListNumber"/>
      </w:pPr>
      <w:r>
        <w:rPr>
          <w:b/>
        </w:rPr>
        <w:t>Conflict detection</w:t>
      </w:r>
      <w:r>
        <w:t xml:space="preserve"> between advice request and JSON (fee mismatch, risk‑profile mismatch, platform</w:t>
      </w:r>
    </w:p>
    <w:p>
      <w:r>
        <w:t xml:space="preserve">   mismatch) — already partially flagged; make it systematic.</w:t>
      </w:r>
    </w:p>
    <w:p>
      <w:pPr>
        <w:pStyle w:val="ListNumber"/>
      </w:pPr>
      <w:r>
        <w:rPr>
          <w:b/>
        </w:rPr>
        <w:t>Unmatched‑instruction safety net</w:t>
      </w:r>
      <w:r>
        <w:t xml:space="preserve"> — never silently drop an instruction the engine didn't</w:t>
      </w:r>
    </w:p>
    <w:p>
      <w:r>
        <w:t xml:space="preserve">   recognise; surface it.</w:t>
      </w:r>
    </w:p>
    <w:p>
      <w:pPr>
        <w:pStyle w:val="ListNumber"/>
      </w:pPr>
      <w:r>
        <w:rPr>
          <w:b/>
        </w:rPr>
        <w:t>Compliance guards</w:t>
      </w:r>
      <w:r>
        <w:t xml:space="preserve"> at export: placeholder‑leak detection + per‑strategy completeness.</w:t>
      </w:r>
    </w:p>
    <w:p>
      <w:pPr>
        <w:pStyle w:val="ListNumber"/>
      </w:pPr>
      <w:r>
        <w:rPr>
          <w:b/>
        </w:rPr>
        <w:t>Entity tax treatment</w:t>
      </w:r>
      <w:r>
        <w:t xml:space="preserve"> (SMSF 0/15%, company 25/30%, trust distributions) feeding fee‑after‑tax and</w:t>
      </w:r>
    </w:p>
    <w:p>
      <w:r>
        <w:t xml:space="preserve">   contribution wording.</w:t>
      </w:r>
    </w:p>
    <w:p>
      <w:pPr>
        <w:pStyle w:val="ListNumber"/>
      </w:pPr>
      <w:r>
        <w:rPr>
          <w:b/>
        </w:rPr>
        <w:t>CGT / exit‑cost / lost‑benefit</w:t>
      </w:r>
      <w:r>
        <w:t xml:space="preserve"> logic for replacement (not just fee cells).</w:t>
      </w:r>
    </w:p>
    <w:p>
      <w:pPr>
        <w:pStyle w:val="ListNumber"/>
      </w:pPr>
      <w:r>
        <w:rPr>
          <w:b/>
        </w:rPr>
        <w:t>Per‑entity test fixtures</w:t>
      </w:r>
      <w:r>
        <w:t xml:space="preserve"> — a sample fact‑find JSON + advice request for each shape.</w:t>
      </w:r>
    </w:p>
    <w:p>
      <w:pPr>
        <w:pStyle w:val="ListNumber"/>
      </w:pPr>
      <w:r>
        <w:rPr>
          <w:b/>
        </w:rPr>
        <w:t>Word‑export ↔ preview parity</w:t>
      </w:r>
      <w:r>
        <w:t xml:space="preserve"> testing (the docx highlight can't be binary‑tested in this sandbox).</w:t>
      </w:r>
    </w:p>
    <w:p>
      <w:pPr>
        <w:pStyle w:val="ListNumber"/>
      </w:pPr>
      <w:r>
        <w:rPr>
          <w:b/>
        </w:rPr>
        <w:t>Regression snapshots</w:t>
      </w:r>
      <w:r>
        <w:t xml:space="preserve"> — as the word bank grows, snapshot key outputs so changes are intentional.</w:t>
      </w:r>
    </w:p>
    <w:p/>
    <w:p>
      <w:pPr>
        <w:pStyle w:val="Heading1"/>
      </w:pPr>
      <w:r>
        <w:rPr>
          <w:color w:val="0C2E3F"/>
        </w:rPr>
        <w:t>5. What I need from you</w:t>
      </w:r>
    </w:p>
    <w:p>
      <w:pPr>
        <w:pStyle w:val="ListBullet"/>
      </w:pPr>
      <w:r>
        <w:rPr>
          <w:b/>
        </w:rPr>
        <w:t>Yes — please send example MWS SOAs</w:t>
      </w:r>
      <w:r>
        <w:t xml:space="preserve"> with your full templated wording. Ideally 2–3 covering:</w:t>
      </w:r>
    </w:p>
    <w:p>
      <w:r>
        <w:t xml:space="preserve">  (a) a </w:t>
      </w:r>
      <w:r>
        <w:rPr>
          <w:b/>
        </w:rPr>
        <w:t>couple</w:t>
      </w:r>
      <w:r>
        <w:t xml:space="preserve"> with a broad strategy set, (b) an </w:t>
      </w:r>
      <w:r>
        <w:rPr>
          <w:b/>
        </w:rPr>
        <w:t>entity / SMSF</w:t>
      </w:r>
      <w:r>
        <w:t xml:space="preserve">, (c) one using </w:t>
      </w:r>
      <w:r>
        <w:rPr>
          <w:b/>
        </w:rPr>
        <w:t>Vanguard</w:t>
      </w:r>
    </w:p>
    <w:p>
      <w:r>
        <w:t xml:space="preserve">  (so I can nail the Vanguard‑vs‑CARE and Vanguard‑Diversified‑vs‑Vanguard delineation).</w:t>
      </w:r>
    </w:p>
    <w:p>
      <w:pPr>
        <w:pStyle w:val="ListBullet"/>
      </w:pPr>
      <w:r>
        <w:rPr>
          <w:b/>
        </w:rPr>
        <w:t>The word bank</w:t>
      </w:r>
      <w:r>
        <w:t xml:space="preserve"> of tailored wording for the scenarios (recommendation / why‑outcome / risks /</w:t>
      </w:r>
    </w:p>
    <w:p>
      <w:r>
        <w:t xml:space="preserve">  alternatives per scenario) — the single most valuable input.</w:t>
      </w:r>
    </w:p>
    <w:p>
      <w:pPr>
        <w:pStyle w:val="ListBullet"/>
      </w:pPr>
      <w:r>
        <w:rPr>
          <w:b/>
        </w:rPr>
        <w:t>Your advice‑request keyword conventions</w:t>
      </w:r>
      <w:r>
        <w:t xml:space="preserve"> (so triggers match how you actually write them), plus a</w:t>
      </w:r>
    </w:p>
    <w:p>
      <w:r>
        <w:t xml:space="preserve">  few </w:t>
      </w:r>
      <w:r>
        <w:rPr>
          <w:b/>
        </w:rPr>
        <w:t>sample advice requests</w:t>
      </w:r>
      <w:r>
        <w:t xml:space="preserve"> covering varied strategies.</w:t>
      </w:r>
    </w:p>
    <w:p/>
    <w:p>
      <w:pPr>
        <w:pStyle w:val="Heading1"/>
      </w:pPr>
      <w:r>
        <w:rPr>
          <w:color w:val="0C2E3F"/>
        </w:rPr>
        <w:t>6. Recommended first step</w:t>
      </w:r>
    </w:p>
    <w:p>
      <w:r>
        <w:t xml:space="preserve">Build </w:t>
      </w:r>
      <w:r>
        <w:rPr>
          <w:b/>
        </w:rPr>
        <w:t>Phase 0</w:t>
      </w:r>
      <w:r>
        <w:t xml:space="preserve"> (the engine + word‑bank format) and migrate </w:t>
      </w:r>
      <w:r>
        <w:rPr>
          <w:b/>
        </w:rPr>
        <w:t>debt</w:t>
      </w:r>
      <w:r>
        <w:t xml:space="preserve"> onto it with a parity test.</w:t>
      </w:r>
    </w:p>
    <w:p>
      <w:r>
        <w:t>That gives a clean, proven foundation; then each new strategy area is just data (modules) in the word</w:t>
      </w:r>
    </w:p>
    <w:p>
      <w:r>
        <w:t xml:space="preserve">bank — fast to add and safe to verify. In parallel, I'll start </w:t>
      </w:r>
      <w:r>
        <w:rPr>
          <w:b/>
        </w:rPr>
        <w:t>Phase 1</w:t>
      </w:r>
      <w:r>
        <w:t xml:space="preserve"> (the ownership/entity layer)</w:t>
      </w:r>
    </w:p>
    <w:p>
      <w:r>
        <w:t>since it's the deepest structural change and everything else sits on top of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