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or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 utilise] an offset account against your home loan and hold your cash and surplus within it.</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w:t>
            </w:r>
          </w:p>
        </w:tc>
      </w:tr>
      <w:tr>
        <w:tc>
          <w:tcPr>
            <w:tcW w:type="dxa" w:w="5256"/>
            <w:shd w:val="clear" w:fill="E5F4F6"/>
          </w:tcPr>
          <w:p>
            <w:r>
              <w:rPr>
                <w:b/>
                <w:color w:val="0C2E3F"/>
                <w:sz w:val="17"/>
              </w:rPr>
              <w:t>Trigger phrases (how it's written in the advice request)</w:t>
            </w:r>
          </w:p>
        </w:tc>
        <w:tc>
          <w:tcPr>
            <w:tcW w:type="dxa" w:w="5256"/>
          </w:tcPr>
          <w:p>
            <w:r>
              <w:rPr>
                <w:sz w:val="19"/>
              </w:rPr>
              <w:t>• surplus to offset</w:t>
              <w:br/>
              <w:t>• direct surplus income</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offset</w:t>
              <w:br/>
              <w:t>• direct tax savings</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investment property loan(s)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switch your investment property loan(s) from principal &amp; interest to interest only to improve cashflow and maintain tax-deductible debt.</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Personal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Superannuation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Management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surplus to savings</w:t>
              <w:br/>
              <w:t>• surplus income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surplus income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tax savings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tax savings to savings</w:t>
              <w:br/>
              <w:t>• tax savings to offset</w:t>
            </w:r>
          </w:p>
        </w:tc>
      </w:tr>
      <w:tr>
        <w:tc>
          <w:tcPr>
            <w:tcW w:type="dxa" w:w="5256"/>
            <w:shd w:val="clear" w:fill="E5F4F6"/>
          </w:tcPr>
          <w:p>
            <w:r>
              <w:rPr>
                <w:b/>
                <w:color w:val="0C2E3F"/>
                <w:sz w:val="17"/>
              </w:rPr>
              <w:t>Always-on / Tailored</w:t>
            </w:r>
          </w:p>
        </w:tc>
        <w:tc>
          <w:tcPr>
            <w:tcW w:type="dxa" w:w="5256"/>
          </w:tcPr>
          <w:p>
            <w:r>
              <w:rPr>
                <w:sz w:val="19"/>
              </w:rPr>
              <w:t>Always-on</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direct your tax savings of $___ to your offset / savings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emergency fund</w:t>
            </w:r>
          </w:p>
        </w:tc>
      </w:tr>
      <w:tr>
        <w:tc>
          <w:tcPr>
            <w:tcW w:type="dxa" w:w="5256"/>
            <w:shd w:val="clear" w:fill="E5F4F6"/>
          </w:tcPr>
          <w:p>
            <w:r>
              <w:rPr>
                <w:b/>
                <w:color w:val="0C2E3F"/>
                <w:sz w:val="17"/>
              </w:rPr>
              <w:t>Always-on / Tailored</w:t>
            </w:r>
          </w:p>
        </w:tc>
        <w:tc>
          <w:tcPr>
            <w:tcW w:type="dxa" w:w="5256"/>
          </w:tcPr>
          <w:p>
            <w:r>
              <w:rPr>
                <w:sz w:val="19"/>
              </w:rPr>
              <w:t>Always-on (cashflow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retain an emergency cash buffer of $___ within your offset/savings for unexpected expenses.</w:t>
            </w:r>
          </w:p>
        </w:tc>
      </w:tr>
      <w:tr>
        <w:tc>
          <w:tcPr>
            <w:tcW w:type="dxa" w:w="5256"/>
            <w:shd w:val="clear" w:fill="E5F4F6"/>
          </w:tcPr>
          <w:p>
            <w:r>
              <w:rPr>
                <w:b/>
                <w:color w:val="0C2E3F"/>
                <w:sz w:val="17"/>
              </w:rPr>
              <w:t>Summary – Outcomes line</w:t>
            </w:r>
          </w:p>
        </w:tc>
        <w:tc>
          <w:tcPr>
            <w:tcW w:type="dxa" w:w="5256"/>
          </w:tcPr>
          <w:p>
            <w:r>
              <w:rPr>
                <w:sz w:val="19"/>
              </w:rPr>
              <w:t>You hold a readily-accessible buffer for unexpected costs, reducing the need to draw on investments or credit.</w:t>
            </w:r>
          </w:p>
        </w:tc>
      </w:tr>
      <w:tr>
        <w:tc>
          <w:tcPr>
            <w:tcW w:type="dxa" w:w="5256"/>
            <w:shd w:val="clear" w:fill="E5F4F6"/>
          </w:tcPr>
          <w:p>
            <w:r>
              <w:rPr>
                <w:b/>
                <w:color w:val="0C2E3F"/>
                <w:sz w:val="17"/>
              </w:rPr>
              <w:t>Why / In line with your goals (bullets)</w:t>
            </w:r>
          </w:p>
        </w:tc>
        <w:tc>
          <w:tcPr>
            <w:tcW w:type="dxa" w:w="5256"/>
          </w:tcPr>
          <w:p>
            <w:r>
              <w:rPr>
                <w:sz w:val="19"/>
              </w:rPr>
              <w:t>• A cash buffer provides liquidity and peace of mind for unexpected expenses.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 Recommendations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Active, professional day-to-day management (dynamic asset allocation)</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component — liquidity to avoid forced selling in downturns</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Diversification &amp; risk-adjusted returns (Core / Active / Enhanced)</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Behavioural discipline — removing emotion from investing</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Tax efficiency — franking credits &amp; CGT management within the managed account</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ownership &amp; transparency (franking direct to you; full visibility via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Tailored to your risk profile and goals</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Value of ongoing professional management &amp; advice (fee-for-value)</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Best-interests statement where fees are higher than the current arrangement</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