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Advice Request – Margaret Stone</w:t>
      </w:r>
    </w:p>
    <w:p>
      <w:pPr>
        <w:ind w:left="0"/>
      </w:pPr>
      <w:r>
        <w:rPr>
          <w:b/>
          <w:i w:val="0"/>
          <w:sz w:val="21"/>
        </w:rPr>
        <w:t>Adviser: Ben Budge</w:t>
      </w:r>
    </w:p>
    <w:p>
      <w:pPr>
        <w:ind w:left="0"/>
      </w:pPr>
      <w:r>
        <w:rPr>
          <w:b w:val="0"/>
          <w:i/>
          <w:sz w:val="21"/>
        </w:rPr>
        <w:t>(RETIREMENT SOA · Single · Existing client)</w:t>
      </w:r>
    </w:p>
    <w:p/>
    <w:p>
      <w:pPr>
        <w:ind w:left="0"/>
      </w:pPr>
      <w:r>
        <w:rPr>
          <w:b w:val="0"/>
          <w:i w:val="0"/>
          <w:sz w:val="21"/>
        </w:rPr>
        <w:t>Hi Team,</w:t>
      </w:r>
    </w:p>
    <w:p>
      <w:pPr>
        <w:ind w:left="0"/>
      </w:pPr>
      <w:r>
        <w:rPr>
          <w:b w:val="0"/>
          <w:i w:val="0"/>
          <w:sz w:val="21"/>
        </w:rPr>
        <w:t>Margaret is an existing client. She is selling her investment property and wants to use the proceeds to reduce tax and maximise her superannuation, then commence an account-based pension and begin drawing an income. Any excess sale proceeds that she cannot contribute to super this year (due to caps) will be invested in a new investment account, and we will in-specie transfer that balance into super in future years as contribution cap space becomes available.</w:t>
      </w:r>
    </w:p>
    <w:p>
      <w:pPr>
        <w:ind w:left="0"/>
      </w:pPr>
      <w:r>
        <w:rPr>
          <w:b w:val="0"/>
          <w:i w:val="0"/>
          <w:sz w:val="21"/>
        </w:rPr>
        <w:t>I have attached the wealth review document and her previous SOA for current situation. No other changes to her situation and goals.</w:t>
      </w:r>
    </w:p>
    <w:p>
      <w:pPr>
        <w:spacing w:before="160" w:after="40"/>
      </w:pPr>
      <w:r>
        <w:rPr>
          <w:b/>
          <w:color w:val="1F3A5F"/>
          <w:sz w:val="28"/>
        </w:rPr>
        <w:t>Risk Profile</w:t>
      </w:r>
    </w:p>
    <w:p>
      <w:pPr>
        <w:ind w:left="240"/>
      </w:pPr>
      <w:r>
        <w:rPr>
          <w:b w:val="0"/>
          <w:i w:val="0"/>
          <w:sz w:val="21"/>
        </w:rPr>
        <w:t>Margaret: Balanced for Super; Balanced for Inv (remains appropriate, reviewed)</w:t>
      </w:r>
    </w:p>
    <w:p>
      <w:pPr>
        <w:spacing w:before="160" w:after="40"/>
      </w:pPr>
      <w:r>
        <w:rPr>
          <w:b/>
          <w:color w:val="1F3A5F"/>
          <w:sz w:val="28"/>
        </w:rPr>
        <w:t>Scope of Advice</w:t>
      </w:r>
    </w:p>
    <w:p>
      <w:pPr>
        <w:ind w:left="240"/>
      </w:pPr>
      <w:r>
        <w:rPr>
          <w:b w:val="0"/>
          <w:i w:val="0"/>
          <w:sz w:val="21"/>
        </w:rPr>
        <w:t>Investment Property</w:t>
      </w:r>
    </w:p>
    <w:p>
      <w:pPr>
        <w:ind w:left="240"/>
      </w:pPr>
      <w:r>
        <w:rPr>
          <w:b w:val="0"/>
          <w:i w:val="0"/>
          <w:sz w:val="21"/>
        </w:rPr>
        <w:t>Superannuation</w:t>
      </w:r>
    </w:p>
    <w:p>
      <w:pPr>
        <w:ind w:left="240"/>
      </w:pPr>
      <w:r>
        <w:rPr>
          <w:b w:val="0"/>
          <w:i w:val="0"/>
          <w:sz w:val="21"/>
        </w:rPr>
        <w:t>Super Contributions</w:t>
      </w:r>
    </w:p>
    <w:p>
      <w:pPr>
        <w:ind w:left="240"/>
      </w:pPr>
      <w:r>
        <w:rPr>
          <w:b w:val="0"/>
          <w:i w:val="0"/>
          <w:sz w:val="21"/>
        </w:rPr>
        <w:t>Investment Plan</w:t>
      </w:r>
    </w:p>
    <w:p>
      <w:pPr>
        <w:ind w:left="240"/>
      </w:pPr>
      <w:r>
        <w:rPr>
          <w:b w:val="0"/>
          <w:i w:val="0"/>
          <w:sz w:val="21"/>
        </w:rPr>
        <w:t>Cashflow &amp; Budgeting</w:t>
      </w:r>
    </w:p>
    <w:p>
      <w:pPr>
        <w:ind w:left="0"/>
      </w:pPr>
      <w:r>
        <w:rPr>
          <w:b/>
          <w:i w:val="0"/>
          <w:sz w:val="21"/>
        </w:rPr>
        <w:t>Scope Out</w:t>
      </w:r>
    </w:p>
    <w:p>
      <w:pPr>
        <w:ind w:left="240"/>
      </w:pPr>
      <w:r>
        <w:rPr>
          <w:b w:val="0"/>
          <w:i w:val="0"/>
          <w:sz w:val="21"/>
        </w:rPr>
        <w:t>Existing shares</w:t>
      </w:r>
    </w:p>
    <w:p>
      <w:pPr>
        <w:spacing w:before="160" w:after="40"/>
      </w:pPr>
      <w:r>
        <w:rPr>
          <w:b/>
          <w:color w:val="1F3A5F"/>
          <w:sz w:val="28"/>
        </w:rPr>
        <w:t>Investment Property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Sell an existing investment property and use the proceeds to fund your superannuation contributions and investment plan.</w:t>
      </w:r>
    </w:p>
    <w:p>
      <w:pPr>
        <w:ind w:left="120"/>
      </w:pPr>
      <w:r>
        <w:rPr>
          <w:b/>
          <w:i w:val="0"/>
          <w:sz w:val="21"/>
        </w:rPr>
        <w:t>Paraplanning note:</w:t>
      </w:r>
    </w:p>
    <w:p>
      <w:pPr>
        <w:ind w:left="360"/>
      </w:pPr>
      <w:r>
        <w:rPr>
          <w:b w:val="0"/>
          <w:i/>
          <w:sz w:val="21"/>
        </w:rPr>
        <w:t>Estimated net sale proceeds per SOA calcs; CGT to be confirmed with accountant.</w:t>
      </w:r>
    </w:p>
    <w:p>
      <w:pPr>
        <w:spacing w:before="160" w:after="40"/>
      </w:pPr>
      <w:r>
        <w:rPr>
          <w:b/>
          <w:color w:val="1F3A5F"/>
          <w:sz w:val="28"/>
        </w:rPr>
        <w:t>Super Contributions Advice</w:t>
      </w:r>
    </w:p>
    <w:p>
      <w:pPr>
        <w:ind w:left="120"/>
      </w:pPr>
      <w:r>
        <w:rPr>
          <w:b/>
          <w:i w:val="0"/>
          <w:sz w:val="21"/>
        </w:rPr>
        <w:t>Contributions</w:t>
      </w:r>
    </w:p>
    <w:p>
      <w:pPr>
        <w:ind w:left="360"/>
      </w:pPr>
      <w:r>
        <w:rPr>
          <w:b w:val="0"/>
          <w:i w:val="0"/>
          <w:sz w:val="21"/>
        </w:rPr>
        <w:t>• Margaret — Carry-forward concessional (FY25/26) → New fund: $30,000 (to offset CGT on the property sale)</w:t>
      </w:r>
    </w:p>
    <w:p>
      <w:pPr>
        <w:ind w:left="360"/>
      </w:pPr>
      <w:r>
        <w:rPr>
          <w:b w:val="0"/>
          <w:i w:val="0"/>
          <w:sz w:val="21"/>
        </w:rPr>
        <w:t>• Margaret — Bring-forward NCC (FY25/26) → New fund: $360,000 (from sale proceeds)</w:t>
      </w:r>
    </w:p>
    <w:p>
      <w:pPr>
        <w:ind w:left="120"/>
      </w:pPr>
      <w:r>
        <w:rPr>
          <w:b/>
          <w:i w:val="0"/>
          <w:sz w:val="21"/>
        </w:rPr>
        <w:t>Paraplanning note:</w:t>
      </w:r>
    </w:p>
    <w:p>
      <w:pPr>
        <w:ind w:left="360"/>
      </w:pPr>
      <w:r>
        <w:rPr>
          <w:b w:val="0"/>
          <w:i/>
          <w:sz w:val="21"/>
        </w:rPr>
        <w:t>Use the carry-forward concessional contribution to offset the capital gain in the year of sale.</w:t>
      </w:r>
    </w:p>
    <w:p>
      <w:pPr>
        <w:spacing w:before="160" w:after="40"/>
      </w:pPr>
      <w:r>
        <w:rPr>
          <w:b/>
          <w:color w:val="1F3A5F"/>
          <w:sz w:val="28"/>
        </w:rPr>
        <w:t>Superannuation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Commence an Account-Based Pension and draw the minimum % to meet your income needs.</w:t>
      </w:r>
    </w:p>
    <w:p>
      <w:pPr>
        <w:ind w:left="360"/>
      </w:pPr>
      <w:r>
        <w:rPr>
          <w:b w:val="0"/>
          <w:i w:val="0"/>
          <w:sz w:val="21"/>
        </w:rPr>
        <w:t>• Seamless accumulation-to-pension transfer (no asset sale) to avoid CGT / poor-timing sale.</w:t>
      </w:r>
    </w:p>
    <w:p>
      <w:pPr>
        <w:ind w:left="120"/>
      </w:pPr>
      <w:r>
        <w:rPr>
          <w:b/>
          <w:i w:val="0"/>
          <w:sz w:val="21"/>
        </w:rPr>
        <w:t>Product Recommendation(s)</w:t>
      </w:r>
    </w:p>
    <w:p>
      <w:pPr>
        <w:ind w:left="360"/>
      </w:pPr>
      <w:r>
        <w:rPr>
          <w:b w:val="0"/>
          <w:i w:val="0"/>
          <w:sz w:val="21"/>
        </w:rPr>
        <w:t>• Margaret — Account-Based Pension: Hub24 CARE Full HG</w:t>
      </w:r>
    </w:p>
    <w:p>
      <w:pPr>
        <w:spacing w:before="160" w:after="40"/>
      </w:pPr>
      <w:r>
        <w:rPr>
          <w:b/>
          <w:color w:val="1F3A5F"/>
          <w:sz w:val="28"/>
        </w:rPr>
        <w:t>Investment Plan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Establish a new investment account for the excess sale proceeds that cannot yet be contributed to super [initial: per calcs].</w:t>
      </w:r>
    </w:p>
    <w:p>
      <w:pPr>
        <w:ind w:left="360"/>
      </w:pPr>
      <w:r>
        <w:rPr>
          <w:b w:val="0"/>
          <w:i w:val="0"/>
          <w:sz w:val="21"/>
        </w:rPr>
        <w:t>• In-specie transfer the investment balance into super in future years as contribution cap space becomes available.</w:t>
      </w:r>
    </w:p>
    <w:p>
      <w:pPr>
        <w:ind w:left="120"/>
      </w:pPr>
      <w:r>
        <w:rPr>
          <w:b/>
          <w:i w:val="0"/>
          <w:sz w:val="21"/>
        </w:rPr>
        <w:t>Product Recommendation(s)</w:t>
      </w:r>
    </w:p>
    <w:p>
      <w:pPr>
        <w:ind w:left="360"/>
      </w:pPr>
      <w:r>
        <w:rPr>
          <w:b w:val="0"/>
          <w:i w:val="0"/>
          <w:sz w:val="21"/>
        </w:rPr>
        <w:t>• Hub24 CARE Essentials Balanced – as per doc</w:t>
      </w:r>
    </w:p>
    <w:p>
      <w:pPr>
        <w:ind w:left="120"/>
      </w:pPr>
      <w:r>
        <w:rPr>
          <w:b/>
          <w:i w:val="0"/>
          <w:sz w:val="21"/>
        </w:rPr>
        <w:t>Paraplanning note:</w:t>
      </w:r>
    </w:p>
    <w:p>
      <w:pPr>
        <w:ind w:left="360"/>
      </w:pPr>
      <w:r>
        <w:rPr>
          <w:b w:val="0"/>
          <w:i/>
          <w:sz w:val="21"/>
        </w:rPr>
        <w:t>Flag for future review: in-specie the personal investment into super once NCC cap space is available.</w:t>
      </w:r>
    </w:p>
    <w:p>
      <w:pPr>
        <w:spacing w:before="160" w:after="40"/>
      </w:pPr>
      <w:r>
        <w:rPr>
          <w:b/>
          <w:color w:val="1F3A5F"/>
          <w:sz w:val="28"/>
        </w:rPr>
        <w:t>Cashflow Advice</w:t>
      </w:r>
    </w:p>
    <w:p>
      <w:pPr>
        <w:ind w:left="360"/>
      </w:pPr>
      <w:r>
        <w:rPr>
          <w:b w:val="0"/>
          <w:i w:val="0"/>
          <w:sz w:val="21"/>
        </w:rPr>
        <w:t>Ongoing plan costs to MCMA: advice fee + investment costs (per calcs).</w:t>
      </w:r>
    </w:p>
    <w:p>
      <w:pPr>
        <w:ind w:left="360"/>
      </w:pPr>
      <w:r>
        <w:rPr>
          <w:b w:val="0"/>
          <w:i w:val="0"/>
          <w:sz w:val="21"/>
        </w:rPr>
        <w:t>Costs paid from: Investment Fund (existing client paying from fund).</w:t>
      </w:r>
    </w:p>
    <w:p>
      <w:pPr>
        <w:spacing w:before="160" w:after="40"/>
      </w:pPr>
      <w:r>
        <w:rPr>
          <w:b/>
          <w:color w:val="1F3A5F"/>
          <w:sz w:val="28"/>
        </w:rPr>
        <w:t>Advice Fees</w:t>
      </w:r>
    </w:p>
    <w:p>
      <w:pPr>
        <w:ind w:left="240"/>
      </w:pPr>
      <w:r>
        <w:rPr>
          <w:b w:val="0"/>
          <w:i w:val="0"/>
          <w:sz w:val="21"/>
        </w:rPr>
        <w:t>Commitment: No additional fee for this advice</w:t>
      </w:r>
    </w:p>
    <w:p>
      <w:pPr>
        <w:ind w:left="240"/>
      </w:pPr>
      <w:r>
        <w:rPr>
          <w:b w:val="0"/>
          <w:i w:val="0"/>
          <w:sz w:val="21"/>
        </w:rPr>
        <w:t>Ongoing — No changes</w:t>
      </w:r>
    </w:p>
    <w:p>
      <w:pPr>
        <w:ind w:left="240"/>
      </w:pPr>
      <w:r>
        <w:rPr>
          <w:b w:val="0"/>
          <w:i w:val="0"/>
          <w:sz w:val="21"/>
        </w:rPr>
        <w:t>Super: $X p.a. + 0.33% (WM)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