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4"/>
        </w:rPr>
        <w:t>Advice Request – Tom &amp; Sarah Whitfield</w:t>
      </w:r>
    </w:p>
    <w:p>
      <w:pPr>
        <w:ind w:left="0"/>
      </w:pPr>
      <w:r>
        <w:rPr>
          <w:b/>
          <w:i w:val="0"/>
          <w:sz w:val="21"/>
        </w:rPr>
        <w:t>Adviser: Sam McQueen</w:t>
      </w:r>
    </w:p>
    <w:p>
      <w:pPr>
        <w:ind w:left="0"/>
      </w:pPr>
      <w:r>
        <w:rPr>
          <w:b w:val="0"/>
          <w:i/>
          <w:sz w:val="21"/>
        </w:rPr>
        <w:t>(ACCUMULATOR SOA · Couple · New clients · Full scope)</w:t>
      </w:r>
    </w:p>
    <w:p/>
    <w:p>
      <w:pPr>
        <w:ind w:left="0"/>
      </w:pPr>
      <w:r>
        <w:rPr>
          <w:b w:val="0"/>
          <w:i w:val="0"/>
          <w:sz w:val="21"/>
        </w:rPr>
        <w:t>Hi Team,</w:t>
      </w:r>
    </w:p>
    <w:p>
      <w:pPr>
        <w:ind w:left="0"/>
      </w:pPr>
      <w:r>
        <w:rPr>
          <w:b w:val="0"/>
          <w:i w:val="0"/>
          <w:sz w:val="21"/>
        </w:rPr>
        <w:t>Tom &amp; Sarah are new clients. They own their home and want to commence a debt recycling strategy in their personal names, purchase an investment property using available equity, and review their personal insurances. This is a full-scope SOA.</w:t>
      </w:r>
    </w:p>
    <w:p>
      <w:pPr>
        <w:ind w:left="0"/>
      </w:pPr>
      <w:r>
        <w:rPr>
          <w:b w:val="0"/>
          <w:i w:val="0"/>
          <w:sz w:val="21"/>
        </w:rPr>
        <w:t>Please see SOA calcs for loan limits and equity available.</w:t>
      </w:r>
    </w:p>
    <w:p>
      <w:pPr>
        <w:spacing w:before="160" w:after="40"/>
      </w:pPr>
      <w:r>
        <w:rPr>
          <w:b/>
          <w:color w:val="1F3A5F"/>
          <w:sz w:val="28"/>
        </w:rPr>
        <w:t>Risk Profile</w:t>
      </w:r>
    </w:p>
    <w:p>
      <w:pPr>
        <w:ind w:left="240"/>
      </w:pPr>
      <w:r>
        <w:rPr>
          <w:b w:val="0"/>
          <w:i w:val="0"/>
          <w:sz w:val="21"/>
        </w:rPr>
        <w:t>Tom: High Growth for Super; High Growth for Inv</w:t>
      </w:r>
    </w:p>
    <w:p>
      <w:pPr>
        <w:ind w:left="240"/>
      </w:pPr>
      <w:r>
        <w:rPr>
          <w:b w:val="0"/>
          <w:i w:val="0"/>
          <w:sz w:val="21"/>
        </w:rPr>
        <w:t>Sarah: High Growth for Super; Growth for Inv (bumped up to High Growth for Inv)</w:t>
      </w:r>
    </w:p>
    <w:p>
      <w:pPr>
        <w:spacing w:before="160" w:after="40"/>
      </w:pPr>
      <w:r>
        <w:rPr>
          <w:b/>
          <w:color w:val="1F3A5F"/>
          <w:sz w:val="28"/>
        </w:rPr>
        <w:t>Scope of Advice</w:t>
      </w:r>
    </w:p>
    <w:p>
      <w:pPr>
        <w:ind w:left="240"/>
      </w:pPr>
      <w:r>
        <w:rPr>
          <w:b w:val="0"/>
          <w:i w:val="0"/>
          <w:sz w:val="21"/>
        </w:rPr>
        <w:t>Debt Management</w:t>
      </w:r>
    </w:p>
    <w:p>
      <w:pPr>
        <w:ind w:left="240"/>
      </w:pPr>
      <w:r>
        <w:rPr>
          <w:b w:val="0"/>
          <w:i w:val="0"/>
          <w:sz w:val="21"/>
        </w:rPr>
        <w:t>Investment Property</w:t>
      </w:r>
    </w:p>
    <w:p>
      <w:pPr>
        <w:ind w:left="240"/>
      </w:pPr>
      <w:r>
        <w:rPr>
          <w:b w:val="0"/>
          <w:i w:val="0"/>
          <w:sz w:val="21"/>
        </w:rPr>
        <w:t>Investment Plan</w:t>
      </w:r>
    </w:p>
    <w:p>
      <w:pPr>
        <w:ind w:left="240"/>
      </w:pPr>
      <w:r>
        <w:rPr>
          <w:b w:val="0"/>
          <w:i w:val="0"/>
          <w:sz w:val="21"/>
        </w:rPr>
        <w:t>Superannuation</w:t>
      </w:r>
    </w:p>
    <w:p>
      <w:pPr>
        <w:ind w:left="240"/>
      </w:pPr>
      <w:r>
        <w:rPr>
          <w:b w:val="0"/>
          <w:i w:val="0"/>
          <w:sz w:val="21"/>
        </w:rPr>
        <w:t>Super Contributions</w:t>
      </w:r>
    </w:p>
    <w:p>
      <w:pPr>
        <w:ind w:left="240"/>
      </w:pPr>
      <w:r>
        <w:rPr>
          <w:b w:val="0"/>
          <w:i w:val="0"/>
          <w:sz w:val="21"/>
        </w:rPr>
        <w:t>Insurance / Personal Protection</w:t>
      </w:r>
    </w:p>
    <w:p>
      <w:pPr>
        <w:ind w:left="240"/>
      </w:pPr>
      <w:r>
        <w:rPr>
          <w:b w:val="0"/>
          <w:i w:val="0"/>
          <w:sz w:val="21"/>
        </w:rPr>
        <w:t>Cashflow &amp; Budgeting</w:t>
      </w:r>
    </w:p>
    <w:p>
      <w:pPr>
        <w:spacing w:before="160" w:after="40"/>
      </w:pPr>
      <w:r>
        <w:rPr>
          <w:b/>
          <w:color w:val="1F3A5F"/>
          <w:sz w:val="28"/>
        </w:rPr>
        <w:t>Debt Management Advice</w:t>
      </w:r>
    </w:p>
    <w:p>
      <w:pPr>
        <w:ind w:left="120"/>
      </w:pPr>
      <w:r>
        <w:rPr>
          <w:b/>
          <w:i w:val="0"/>
          <w:sz w:val="21"/>
        </w:rPr>
        <w:t>Strategy Recommendations</w:t>
      </w:r>
    </w:p>
    <w:p>
      <w:pPr>
        <w:ind w:left="360"/>
      </w:pPr>
      <w:r>
        <w:rPr>
          <w:b w:val="0"/>
          <w:i w:val="0"/>
          <w:sz w:val="21"/>
        </w:rPr>
        <w:t>• Joint: Refinance to draw on available equity (gearing).</w:t>
      </w:r>
    </w:p>
    <w:p>
      <w:pPr>
        <w:ind w:left="360"/>
      </w:pPr>
      <w:r>
        <w:rPr>
          <w:b w:val="0"/>
          <w:i w:val="0"/>
          <w:sz w:val="21"/>
        </w:rPr>
        <w:t>• Joint: Establish a Term Loan / debt recycling (gearing).</w:t>
      </w:r>
    </w:p>
    <w:p>
      <w:pPr>
        <w:ind w:left="360"/>
      </w:pPr>
      <w:r>
        <w:rPr>
          <w:b w:val="0"/>
          <w:i w:val="0"/>
          <w:sz w:val="21"/>
        </w:rPr>
        <w:t>• Joint: Direct surplus income AND tax savings to offset [surplus income $___, tax savings $___].</w:t>
      </w:r>
    </w:p>
    <w:p>
      <w:pPr>
        <w:ind w:left="120"/>
      </w:pPr>
      <w:r>
        <w:rPr>
          <w:b/>
          <w:i w:val="0"/>
          <w:sz w:val="21"/>
        </w:rPr>
        <w:t>Paraplanning note:</w:t>
      </w:r>
    </w:p>
    <w:p>
      <w:pPr>
        <w:ind w:left="360"/>
      </w:pPr>
      <w:r>
        <w:rPr>
          <w:b w:val="0"/>
          <w:i/>
          <w:sz w:val="21"/>
        </w:rPr>
        <w:t>Available equity and term-loan limit per SOA calcs.</w:t>
      </w:r>
    </w:p>
    <w:p>
      <w:pPr>
        <w:spacing w:before="160" w:after="40"/>
      </w:pPr>
      <w:r>
        <w:rPr>
          <w:b/>
          <w:color w:val="1F3A5F"/>
          <w:sz w:val="28"/>
        </w:rPr>
        <w:t>Investment Property Advice</w:t>
      </w:r>
    </w:p>
    <w:p>
      <w:pPr>
        <w:ind w:left="120"/>
      </w:pPr>
      <w:r>
        <w:rPr>
          <w:b/>
          <w:i w:val="0"/>
          <w:sz w:val="21"/>
        </w:rPr>
        <w:t>Strategy Recommendations</w:t>
      </w:r>
    </w:p>
    <w:p>
      <w:pPr>
        <w:ind w:left="360"/>
      </w:pPr>
      <w:r>
        <w:rPr>
          <w:b w:val="0"/>
          <w:i w:val="0"/>
          <w:sz w:val="21"/>
        </w:rPr>
        <w:t>• Joint: Purchase an investment property using equity.</w:t>
      </w:r>
    </w:p>
    <w:p>
      <w:pPr>
        <w:ind w:left="360"/>
      </w:pPr>
      <w:r>
        <w:rPr>
          <w:b w:val="0"/>
          <w:i w:val="0"/>
          <w:sz w:val="21"/>
        </w:rPr>
        <w:t>• Joint: Use equity to fund the 20% deposit for the investment property purchase (gearing).</w:t>
      </w:r>
    </w:p>
    <w:p>
      <w:pPr>
        <w:spacing w:before="160" w:after="40"/>
      </w:pPr>
      <w:r>
        <w:rPr>
          <w:b/>
          <w:color w:val="1F3A5F"/>
          <w:sz w:val="28"/>
        </w:rPr>
        <w:t>Investment Plan Advice</w:t>
      </w:r>
    </w:p>
    <w:p>
      <w:pPr>
        <w:ind w:left="120"/>
      </w:pPr>
      <w:r>
        <w:rPr>
          <w:b/>
          <w:i w:val="0"/>
          <w:sz w:val="21"/>
        </w:rPr>
        <w:t>Strategy Recommendations</w:t>
      </w:r>
    </w:p>
    <w:p>
      <w:pPr>
        <w:ind w:left="360"/>
      </w:pPr>
      <w:r>
        <w:rPr>
          <w:b w:val="0"/>
          <w:i w:val="0"/>
          <w:sz w:val="21"/>
        </w:rPr>
        <w:t>• Joint: Regular investment from a Term Loan [initial $___ + ongoing $___ pm].</w:t>
      </w:r>
    </w:p>
    <w:p>
      <w:pPr>
        <w:ind w:left="120"/>
      </w:pPr>
      <w:r>
        <w:rPr>
          <w:b/>
          <w:i w:val="0"/>
          <w:sz w:val="21"/>
        </w:rPr>
        <w:t>Product Recommendation(s)</w:t>
      </w:r>
    </w:p>
    <w:p>
      <w:pPr>
        <w:ind w:left="360"/>
      </w:pPr>
      <w:r>
        <w:rPr>
          <w:b w:val="0"/>
          <w:i w:val="0"/>
          <w:sz w:val="21"/>
        </w:rPr>
        <w:t>• Hub24 CARE Essentials HG – as per doc</w:t>
      </w:r>
    </w:p>
    <w:p>
      <w:pPr>
        <w:spacing w:before="160" w:after="40"/>
      </w:pPr>
      <w:r>
        <w:rPr>
          <w:b/>
          <w:color w:val="1F3A5F"/>
          <w:sz w:val="28"/>
        </w:rPr>
        <w:t>Superannuation Advice</w:t>
      </w:r>
    </w:p>
    <w:p>
      <w:pPr>
        <w:ind w:left="120"/>
      </w:pPr>
      <w:r>
        <w:rPr>
          <w:b/>
          <w:i w:val="0"/>
          <w:sz w:val="21"/>
        </w:rPr>
        <w:t>Strategy Recommendations</w:t>
      </w:r>
    </w:p>
    <w:p>
      <w:pPr>
        <w:ind w:left="360"/>
      </w:pPr>
      <w:r>
        <w:rPr>
          <w:b w:val="0"/>
          <w:i w:val="0"/>
          <w:sz w:val="21"/>
        </w:rPr>
        <w:t>• Both: Establish new fund + full rollover (close &amp; transfer 100%).</w:t>
      </w:r>
    </w:p>
    <w:p>
      <w:pPr>
        <w:ind w:left="120"/>
      </w:pPr>
      <w:r>
        <w:rPr>
          <w:b/>
          <w:i w:val="0"/>
          <w:sz w:val="21"/>
        </w:rPr>
        <w:t>Product Recommendation(s)</w:t>
      </w:r>
    </w:p>
    <w:p>
      <w:pPr>
        <w:ind w:left="360"/>
      </w:pPr>
      <w:r>
        <w:rPr>
          <w:b w:val="0"/>
          <w:i w:val="0"/>
          <w:sz w:val="21"/>
        </w:rPr>
        <w:t>• Tom — Accumulation: Hub24 CARE Full HG</w:t>
      </w:r>
    </w:p>
    <w:p>
      <w:pPr>
        <w:ind w:left="360"/>
      </w:pPr>
      <w:r>
        <w:rPr>
          <w:b w:val="0"/>
          <w:i w:val="0"/>
          <w:sz w:val="21"/>
        </w:rPr>
        <w:t>• Sarah — Accumulation: Hub24 CARE Full HG</w:t>
      </w:r>
    </w:p>
    <w:p>
      <w:pPr>
        <w:spacing w:before="160" w:after="40"/>
      </w:pPr>
      <w:r>
        <w:rPr>
          <w:b/>
          <w:color w:val="1F3A5F"/>
          <w:sz w:val="28"/>
        </w:rPr>
        <w:t>Super Contributions Advice</w:t>
      </w:r>
    </w:p>
    <w:p>
      <w:pPr>
        <w:ind w:left="120"/>
      </w:pPr>
      <w:r>
        <w:rPr>
          <w:b/>
          <w:i w:val="0"/>
          <w:sz w:val="21"/>
        </w:rPr>
        <w:t>Contributions</w:t>
      </w:r>
    </w:p>
    <w:p>
      <w:pPr>
        <w:ind w:left="360"/>
      </w:pPr>
      <w:r>
        <w:rPr>
          <w:b w:val="0"/>
          <w:i w:val="0"/>
          <w:sz w:val="21"/>
        </w:rPr>
        <w:t>• Tom — Salary sacrifice (concessional) → New fund: maximise to cap</w:t>
      </w:r>
    </w:p>
    <w:p>
      <w:pPr>
        <w:ind w:left="360"/>
      </w:pPr>
      <w:r>
        <w:rPr>
          <w:b w:val="0"/>
          <w:i w:val="0"/>
          <w:sz w:val="21"/>
        </w:rPr>
        <w:t>• Sarah — Salary sacrifice (concessional) → New fund: maximise to cap</w:t>
      </w:r>
    </w:p>
    <w:p>
      <w:pPr>
        <w:spacing w:before="160" w:after="40"/>
      </w:pPr>
      <w:r>
        <w:rPr>
          <w:b/>
          <w:color w:val="1F3A5F"/>
          <w:sz w:val="28"/>
        </w:rPr>
        <w:t>Insurance / Personal Protection Advice</w:t>
      </w:r>
    </w:p>
    <w:p>
      <w:pPr>
        <w:ind w:left="120"/>
      </w:pPr>
      <w:r>
        <w:rPr>
          <w:b/>
          <w:i w:val="0"/>
          <w:sz w:val="21"/>
        </w:rPr>
        <w:t>Strategy Recommendations</w:t>
      </w:r>
    </w:p>
    <w:p>
      <w:pPr>
        <w:ind w:left="360"/>
      </w:pPr>
      <w:r>
        <w:rPr>
          <w:b w:val="0"/>
          <w:i w:val="0"/>
          <w:sz w:val="21"/>
        </w:rPr>
        <w:t>• Both: Take out new cover (Life / TPD / Trauma / IP).</w:t>
      </w:r>
    </w:p>
    <w:p>
      <w:pPr>
        <w:ind w:left="360"/>
      </w:pPr>
      <w:r>
        <w:rPr>
          <w:b w:val="0"/>
          <w:i w:val="0"/>
          <w:sz w:val="21"/>
        </w:rPr>
        <w:t>• Premium structure — variable age-stepped for all cover.</w:t>
      </w:r>
    </w:p>
    <w:p>
      <w:pPr>
        <w:ind w:left="120"/>
      </w:pPr>
      <w:r>
        <w:rPr>
          <w:b/>
          <w:i w:val="0"/>
          <w:sz w:val="21"/>
        </w:rPr>
        <w:t>Product Recommendation(s)</w:t>
      </w:r>
    </w:p>
    <w:p>
      <w:pPr>
        <w:ind w:left="360"/>
      </w:pPr>
      <w:r>
        <w:rPr>
          <w:b w:val="0"/>
          <w:i w:val="0"/>
          <w:sz w:val="21"/>
        </w:rPr>
        <w:t>• Both — MetLife</w:t>
      </w:r>
    </w:p>
    <w:p>
      <w:pPr>
        <w:ind w:left="120"/>
      </w:pPr>
      <w:r>
        <w:rPr>
          <w:b/>
          <w:i w:val="0"/>
          <w:sz w:val="21"/>
        </w:rPr>
        <w:t>Paraplanning note:</w:t>
      </w:r>
    </w:p>
    <w:p>
      <w:pPr>
        <w:ind w:left="360"/>
      </w:pPr>
      <w:r>
        <w:rPr>
          <w:b w:val="0"/>
          <w:i/>
          <w:sz w:val="21"/>
        </w:rPr>
        <w:t>Levels of cover as per quotes.</w:t>
      </w:r>
    </w:p>
    <w:p>
      <w:pPr>
        <w:spacing w:before="160" w:after="40"/>
      </w:pPr>
      <w:r>
        <w:rPr>
          <w:b/>
          <w:color w:val="1F3A5F"/>
          <w:sz w:val="28"/>
        </w:rPr>
        <w:t>Cashflow Advice</w:t>
      </w:r>
    </w:p>
    <w:p>
      <w:pPr>
        <w:ind w:left="360"/>
      </w:pPr>
      <w:r>
        <w:rPr>
          <w:b w:val="0"/>
          <w:i w:val="0"/>
          <w:sz w:val="21"/>
        </w:rPr>
        <w:t>Ongoing plan costs to MCMA: insurance + investments + advice fee (broken down per calcs).</w:t>
      </w:r>
    </w:p>
    <w:p>
      <w:pPr>
        <w:ind w:left="360"/>
      </w:pPr>
      <w:r>
        <w:rPr>
          <w:b w:val="0"/>
          <w:i w:val="0"/>
          <w:sz w:val="21"/>
        </w:rPr>
        <w:t>Costs paid from: MCMA.</w:t>
      </w:r>
    </w:p>
    <w:p>
      <w:pPr>
        <w:ind w:left="360"/>
      </w:pPr>
      <w:r>
        <w:rPr>
          <w:b w:val="0"/>
          <w:i w:val="0"/>
          <w:sz w:val="21"/>
        </w:rPr>
        <w:t>Direct surplus income AND tax savings to offset.</w:t>
      </w:r>
    </w:p>
    <w:p>
      <w:pPr>
        <w:spacing w:before="160" w:after="40"/>
      </w:pPr>
      <w:r>
        <w:rPr>
          <w:b/>
          <w:color w:val="1F3A5F"/>
          <w:sz w:val="28"/>
        </w:rPr>
        <w:t>Advice Fees</w:t>
      </w:r>
    </w:p>
    <w:p>
      <w:pPr>
        <w:ind w:left="240"/>
      </w:pPr>
      <w:r>
        <w:rPr>
          <w:b w:val="0"/>
          <w:i w:val="0"/>
          <w:sz w:val="21"/>
        </w:rPr>
        <w:t>Commitment: $1,214</w:t>
      </w:r>
    </w:p>
    <w:p>
      <w:pPr>
        <w:ind w:left="240"/>
      </w:pPr>
      <w:r>
        <w:rPr>
          <w:b w:val="0"/>
          <w:i w:val="0"/>
          <w:sz w:val="21"/>
        </w:rPr>
        <w:t>Initial: $X (super) / $X (cashflow)</w:t>
      </w:r>
    </w:p>
    <w:p>
      <w:pPr>
        <w:ind w:left="240"/>
      </w:pPr>
      <w:r>
        <w:rPr>
          <w:b w:val="0"/>
          <w:i w:val="0"/>
          <w:sz w:val="21"/>
        </w:rPr>
        <w:t>Ongoing — New: $X p.a. + 0.33% (WM), split per person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