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4"/>
        </w:rPr>
        <w:t>Advice Request – David &amp; Lisa Hartmann</w:t>
      </w:r>
    </w:p>
    <w:p>
      <w:pPr>
        <w:ind w:left="0"/>
      </w:pPr>
      <w:r>
        <w:rPr>
          <w:b/>
          <w:i w:val="0"/>
          <w:sz w:val="21"/>
        </w:rPr>
        <w:t>Adviser: Hayden Wilson</w:t>
      </w:r>
    </w:p>
    <w:p>
      <w:pPr>
        <w:ind w:left="0"/>
      </w:pPr>
      <w:r>
        <w:rPr>
          <w:b w:val="0"/>
          <w:i/>
          <w:sz w:val="21"/>
        </w:rPr>
        <w:t>(MIXED SOA · Couple + SMSF · Existing clients)</w:t>
      </w:r>
    </w:p>
    <w:p/>
    <w:p>
      <w:pPr>
        <w:ind w:left="0"/>
      </w:pPr>
      <w:r>
        <w:rPr>
          <w:b w:val="0"/>
          <w:i w:val="0"/>
          <w:sz w:val="21"/>
        </w:rPr>
        <w:t>Hi Team,</w:t>
      </w:r>
    </w:p>
    <w:p>
      <w:pPr>
        <w:ind w:left="0"/>
      </w:pPr>
      <w:r>
        <w:rPr>
          <w:b w:val="0"/>
          <w:i w:val="0"/>
          <w:sz w:val="21"/>
        </w:rPr>
        <w:t>David &amp; Lisa are existing clients with a self-managed super fund. They want to retain the SMSF and establish a new investment portfolio in the name of the SMSF. They also want to cancel their personal insurances, consolidate their car loan into their home loan, and switch their investment property loan to interest only.</w:t>
      </w:r>
    </w:p>
    <w:p>
      <w:pPr>
        <w:ind w:left="0"/>
      </w:pPr>
      <w:r>
        <w:rPr>
          <w:b w:val="0"/>
          <w:i w:val="0"/>
          <w:sz w:val="21"/>
        </w:rPr>
        <w:t>I have attached the wealth review document and previous SOA for current situation. No other changes to their situation and goals.</w:t>
      </w:r>
    </w:p>
    <w:p>
      <w:pPr>
        <w:spacing w:before="160" w:after="40"/>
      </w:pPr>
      <w:r>
        <w:rPr>
          <w:b/>
          <w:color w:val="1F3A5F"/>
          <w:sz w:val="28"/>
        </w:rPr>
        <w:t>Risk Profile</w:t>
      </w:r>
    </w:p>
    <w:p>
      <w:pPr>
        <w:ind w:left="240"/>
      </w:pPr>
      <w:r>
        <w:rPr>
          <w:b w:val="0"/>
          <w:i w:val="0"/>
          <w:sz w:val="21"/>
        </w:rPr>
        <w:t>David: High Growth for Super; High Growth for Inv</w:t>
      </w:r>
    </w:p>
    <w:p>
      <w:pPr>
        <w:ind w:left="240"/>
      </w:pPr>
      <w:r>
        <w:rPr>
          <w:b w:val="0"/>
          <w:i w:val="0"/>
          <w:sz w:val="21"/>
        </w:rPr>
        <w:t>Lisa: High Growth for Super; High Growth for Inv</w:t>
      </w:r>
    </w:p>
    <w:p>
      <w:pPr>
        <w:ind w:left="240"/>
      </w:pPr>
      <w:r>
        <w:rPr>
          <w:b w:val="0"/>
          <w:i w:val="0"/>
          <w:sz w:val="21"/>
        </w:rPr>
        <w:t>Hartmann Super Fund: High Growth for Super</w:t>
      </w:r>
    </w:p>
    <w:p>
      <w:pPr>
        <w:spacing w:before="160" w:after="40"/>
      </w:pPr>
      <w:r>
        <w:rPr>
          <w:b/>
          <w:color w:val="1F3A5F"/>
          <w:sz w:val="28"/>
        </w:rPr>
        <w:t>Scope of Advice</w:t>
      </w:r>
    </w:p>
    <w:p>
      <w:pPr>
        <w:ind w:left="240"/>
      </w:pPr>
      <w:r>
        <w:rPr>
          <w:b w:val="0"/>
          <w:i w:val="0"/>
          <w:sz w:val="21"/>
        </w:rPr>
        <w:t>Debt Management</w:t>
      </w:r>
    </w:p>
    <w:p>
      <w:pPr>
        <w:ind w:left="240"/>
      </w:pPr>
      <w:r>
        <w:rPr>
          <w:b w:val="0"/>
          <w:i w:val="0"/>
          <w:sz w:val="21"/>
        </w:rPr>
        <w:t>Investment Property</w:t>
      </w:r>
    </w:p>
    <w:p>
      <w:pPr>
        <w:ind w:left="240"/>
      </w:pPr>
      <w:r>
        <w:rPr>
          <w:b w:val="0"/>
          <w:i w:val="0"/>
          <w:sz w:val="21"/>
        </w:rPr>
        <w:t>Investment Plan</w:t>
      </w:r>
    </w:p>
    <w:p>
      <w:pPr>
        <w:ind w:left="240"/>
      </w:pPr>
      <w:r>
        <w:rPr>
          <w:b w:val="0"/>
          <w:i w:val="0"/>
          <w:sz w:val="21"/>
        </w:rPr>
        <w:t>Superannuation</w:t>
      </w:r>
    </w:p>
    <w:p>
      <w:pPr>
        <w:ind w:left="240"/>
      </w:pPr>
      <w:r>
        <w:rPr>
          <w:b w:val="0"/>
          <w:i w:val="0"/>
          <w:sz w:val="21"/>
        </w:rPr>
        <w:t>Insurance / Personal Protection</w:t>
      </w:r>
    </w:p>
    <w:p>
      <w:pPr>
        <w:spacing w:before="160" w:after="40"/>
      </w:pPr>
      <w:r>
        <w:rPr>
          <w:b/>
          <w:color w:val="1F3A5F"/>
          <w:sz w:val="28"/>
        </w:rPr>
        <w:t>Debt Management Advice</w:t>
      </w:r>
    </w:p>
    <w:p>
      <w:pPr>
        <w:ind w:left="120"/>
      </w:pPr>
      <w:r>
        <w:rPr>
          <w:b/>
          <w:i w:val="0"/>
          <w:sz w:val="21"/>
        </w:rPr>
        <w:t>Strategy Recommendations</w:t>
      </w:r>
    </w:p>
    <w:p>
      <w:pPr>
        <w:ind w:left="360"/>
      </w:pPr>
      <w:r>
        <w:rPr>
          <w:b w:val="0"/>
          <w:i w:val="0"/>
          <w:sz w:val="21"/>
        </w:rPr>
        <w:t>• Joint: Consolidate car loan into home loan.</w:t>
      </w:r>
    </w:p>
    <w:p>
      <w:pPr>
        <w:ind w:left="360"/>
      </w:pPr>
      <w:r>
        <w:rPr>
          <w:b w:val="0"/>
          <w:i w:val="0"/>
          <w:sz w:val="21"/>
        </w:rPr>
        <w:t>• Joint: Refinance investment property loan from P&amp;I to interest only.</w:t>
      </w:r>
    </w:p>
    <w:p>
      <w:pPr>
        <w:spacing w:before="160" w:after="40"/>
      </w:pPr>
      <w:r>
        <w:rPr>
          <w:b/>
          <w:color w:val="1F3A5F"/>
          <w:sz w:val="28"/>
        </w:rPr>
        <w:t>Superannuation Advice</w:t>
      </w:r>
    </w:p>
    <w:p>
      <w:pPr>
        <w:ind w:left="120"/>
      </w:pPr>
      <w:r>
        <w:rPr>
          <w:b/>
          <w:i w:val="0"/>
          <w:sz w:val="21"/>
        </w:rPr>
        <w:t>Strategy Recommendations</w:t>
      </w:r>
    </w:p>
    <w:p>
      <w:pPr>
        <w:ind w:left="360"/>
      </w:pPr>
      <w:r>
        <w:rPr>
          <w:b w:val="0"/>
          <w:i w:val="0"/>
          <w:sz w:val="21"/>
        </w:rPr>
        <w:t>• Hartmann Super Fund: Retain an existing SMSF (operate, add account, redirect contributions, reinvest).</w:t>
      </w:r>
    </w:p>
    <w:p>
      <w:pPr>
        <w:ind w:left="120"/>
      </w:pPr>
      <w:r>
        <w:rPr>
          <w:b/>
          <w:i w:val="0"/>
          <w:sz w:val="21"/>
        </w:rPr>
        <w:t>Product Recommendation(s)</w:t>
      </w:r>
    </w:p>
    <w:p>
      <w:pPr>
        <w:ind w:left="360"/>
      </w:pPr>
      <w:r>
        <w:rPr>
          <w:b w:val="0"/>
          <w:i w:val="0"/>
          <w:sz w:val="21"/>
        </w:rPr>
        <w:t>• Hartmann Super Fund — SMSF Accumulation: Hub24 CARE Full HG (within existing SMSF)</w:t>
      </w:r>
    </w:p>
    <w:p>
      <w:pPr>
        <w:spacing w:before="160" w:after="40"/>
      </w:pPr>
      <w:r>
        <w:rPr>
          <w:b/>
          <w:color w:val="1F3A5F"/>
          <w:sz w:val="28"/>
        </w:rPr>
        <w:t>Investment Plan Advice</w:t>
      </w:r>
    </w:p>
    <w:p>
      <w:pPr>
        <w:ind w:left="120"/>
      </w:pPr>
      <w:r>
        <w:rPr>
          <w:b/>
          <w:i w:val="0"/>
          <w:sz w:val="21"/>
        </w:rPr>
        <w:t>Strategy Recommendations</w:t>
      </w:r>
    </w:p>
    <w:p>
      <w:pPr>
        <w:ind w:left="360"/>
      </w:pPr>
      <w:r>
        <w:rPr>
          <w:b w:val="0"/>
          <w:i w:val="0"/>
          <w:sz w:val="21"/>
        </w:rPr>
        <w:t>• Hartmann Super Fund: Establish a new investment account (held by the SMSF) and invest in line with the risk profile [initial $___ + ongoing $___ pm].</w:t>
      </w:r>
    </w:p>
    <w:p>
      <w:pPr>
        <w:ind w:left="120"/>
      </w:pPr>
      <w:r>
        <w:rPr>
          <w:b/>
          <w:i w:val="0"/>
          <w:sz w:val="21"/>
        </w:rPr>
        <w:t>Product Recommendation(s)</w:t>
      </w:r>
    </w:p>
    <w:p>
      <w:pPr>
        <w:ind w:left="360"/>
      </w:pPr>
      <w:r>
        <w:rPr>
          <w:b w:val="0"/>
          <w:i w:val="0"/>
          <w:sz w:val="21"/>
        </w:rPr>
        <w:t>• Hub24 CARE Essentials HG – as per doc (SMSF investment account)</w:t>
      </w:r>
    </w:p>
    <w:p>
      <w:pPr>
        <w:ind w:left="120"/>
      </w:pPr>
      <w:r>
        <w:rPr>
          <w:b/>
          <w:i w:val="0"/>
          <w:sz w:val="21"/>
        </w:rPr>
        <w:t>Paraplanning note:</w:t>
      </w:r>
    </w:p>
    <w:p>
      <w:pPr>
        <w:ind w:left="360"/>
      </w:pPr>
      <w:r>
        <w:rPr>
          <w:b w:val="0"/>
          <w:i/>
          <w:sz w:val="21"/>
        </w:rPr>
        <w:t>Investment account held in the name of the SMSF; funded from SMSF cash.</w:t>
      </w:r>
    </w:p>
    <w:p>
      <w:pPr>
        <w:spacing w:before="160" w:after="40"/>
      </w:pPr>
      <w:r>
        <w:rPr>
          <w:b/>
          <w:color w:val="1F3A5F"/>
          <w:sz w:val="28"/>
        </w:rPr>
        <w:t>Insurance / Personal Protection Advice</w:t>
      </w:r>
    </w:p>
    <w:p>
      <w:pPr>
        <w:ind w:left="120"/>
      </w:pPr>
      <w:r>
        <w:rPr>
          <w:b/>
          <w:i w:val="0"/>
          <w:sz w:val="21"/>
        </w:rPr>
        <w:t>Strategy Recommendations</w:t>
      </w:r>
    </w:p>
    <w:p>
      <w:pPr>
        <w:ind w:left="360"/>
      </w:pPr>
      <w:r>
        <w:rPr>
          <w:b w:val="0"/>
          <w:i w:val="0"/>
          <w:sz w:val="21"/>
        </w:rPr>
        <w:t>• Both: Cancel cover no longer required.</w:t>
      </w:r>
    </w:p>
    <w:p>
      <w:pPr>
        <w:ind w:left="120"/>
      </w:pPr>
      <w:r>
        <w:rPr>
          <w:b/>
          <w:i w:val="0"/>
          <w:sz w:val="21"/>
        </w:rPr>
        <w:t>Paraplanning note:</w:t>
      </w:r>
    </w:p>
    <w:p>
      <w:pPr>
        <w:ind w:left="360"/>
      </w:pPr>
      <w:r>
        <w:rPr>
          <w:b w:val="0"/>
          <w:i/>
          <w:sz w:val="21"/>
        </w:rPr>
        <w:t>Confirm clients understand cover ceases and cannot be reinstated without new underwriting.</w:t>
      </w:r>
    </w:p>
    <w:p>
      <w:pPr>
        <w:spacing w:before="160" w:after="40"/>
      </w:pPr>
      <w:r>
        <w:rPr>
          <w:b/>
          <w:color w:val="1F3A5F"/>
          <w:sz w:val="28"/>
        </w:rPr>
        <w:t>Key Considerations &amp; Warnings (include in Outcomes)</w:t>
      </w:r>
    </w:p>
    <w:p>
      <w:pPr>
        <w:ind w:left="240"/>
      </w:pPr>
      <w:r>
        <w:rPr>
          <w:b w:val="0"/>
          <w:i w:val="0"/>
          <w:sz w:val="21"/>
        </w:rPr>
        <w:t>Switching the investment property loan to interest only means you will not be paying down the principal during the interest-only period.</w:t>
      </w:r>
    </w:p>
    <w:p>
      <w:pPr>
        <w:ind w:left="240"/>
      </w:pPr>
      <w:r>
        <w:rPr>
          <w:b w:val="0"/>
          <w:i w:val="0"/>
          <w:sz w:val="21"/>
        </w:rPr>
        <w:t>Cancelling your insurance means you will no longer be covered; re-applying in future would require new underwriting.</w:t>
      </w:r>
    </w:p>
    <w:p>
      <w:pPr>
        <w:spacing w:before="160" w:after="40"/>
      </w:pPr>
      <w:r>
        <w:rPr>
          <w:b/>
          <w:color w:val="1F3A5F"/>
          <w:sz w:val="28"/>
        </w:rPr>
        <w:t>Advice Fees</w:t>
      </w:r>
    </w:p>
    <w:p>
      <w:pPr>
        <w:ind w:left="240"/>
      </w:pPr>
      <w:r>
        <w:rPr>
          <w:b w:val="0"/>
          <w:i w:val="0"/>
          <w:sz w:val="21"/>
        </w:rPr>
        <w:t>Commitment: No additional fee</w:t>
      </w:r>
    </w:p>
    <w:p>
      <w:pPr>
        <w:ind w:left="240"/>
      </w:pPr>
      <w:r>
        <w:rPr>
          <w:b w:val="0"/>
          <w:i w:val="0"/>
          <w:sz w:val="21"/>
        </w:rPr>
        <w:t>Ongoing — No changes: $X each from SMSF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