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30"/>
      </w:pPr>
      <w:r>
        <w:rPr>
          <w:b/>
          <w:bCs/>
          <w:color w:val="2B6FD6"/>
          <w:sz w:val="21"/>
          <w:szCs w:val="21"/>
          <w:rFonts w:ascii="ABC Arizona Flare" w:cs="ABC Arizona Flare" w:eastAsia="ABC Arizona Flare" w:hAnsi="ABC Arizona Flare"/>
        </w:rPr>
        <w:t xml:space="preserve">My Wealth Solutions</w:t>
      </w:r>
    </w:p>
    <w:p>
      <w:pPr>
        <w:spacing w:before="0" w:after="50"/>
      </w:pPr>
      <w:r>
        <w:rPr>
          <w:b/>
          <w:bCs/>
          <w:color w:val="0C2E3F"/>
          <w:sz w:val="40"/>
          <w:szCs w:val="40"/>
          <w:rFonts w:ascii="ABC Arizona Flare" w:cs="ABC Arizona Flare" w:eastAsia="ABC Arizona Flare" w:hAnsi="ABC Arizona Flare"/>
        </w:rPr>
        <w:t xml:space="preserve">Fee Apportioning Rules — Tool Specification</w:t>
      </w:r>
    </w:p>
    <w:p>
      <w:pPr>
        <w:pBdr>
          <w:bottom w:val="single" w:color="2B6FD6" w:sz="8" w:space="6"/>
        </w:pBdr>
        <w:spacing w:before="0" w:after="110"/>
      </w:pPr>
      <w:r>
        <w:rPr>
          <w:b/>
          <w:bCs/>
          <w:color w:val="2B6FD6"/>
          <w:sz w:val="24"/>
          <w:szCs w:val="24"/>
          <w:rFonts w:ascii="ABC Arizona Flare" w:cs="ABC Arizona Flare" w:eastAsia="ABC Arizona Flare" w:hAnsi="ABC Arizona Flare"/>
        </w:rPr>
        <w:t xml:space="preserve">Exemplar-aligned strategy list for the Cashflow Tax Invoice Generator</w:t>
      </w:r>
    </w:p>
    <w:p>
      <w:pPr>
        <w:spacing w:before="30" w:after="70" w:line="266"/>
      </w:pPr>
      <w:r>
        <w:rPr>
          <w:b/>
          <w:bCs/>
          <w:i w:val="false"/>
          <w:iCs w:val="false"/>
          <w:color w:val="5a6b76"/>
          <w:sz w:val="19"/>
          <w:szCs w:val="19"/>
          <w:rFonts w:ascii="Nunito Sans" w:cs="Nunito Sans" w:eastAsia="Nunito Sans" w:hAnsi="Nunito Sans"/>
        </w:rPr>
        <w:t xml:space="preserve">Purpose: </w:t>
      </w:r>
      <w:r>
        <w:rPr>
          <w:b w:val="false"/>
          <w:bCs w:val="false"/>
          <w:i w:val="false"/>
          <w:iCs w:val="false"/>
          <w:color w:val="5a6b76"/>
          <w:sz w:val="19"/>
          <w:szCs w:val="19"/>
          <w:rFonts w:ascii="Nunito Sans" w:cs="Nunito Sans" w:eastAsia="Nunito Sans" w:hAnsi="Nunito Sans"/>
        </w:rPr>
        <w:t xml:space="preserve">hand-over specification for a developer updating the tax invoice tool. It contains every strategy row with its weighting guide, deductible guide, deduction section, default invoice wording and adviser guidance, aligned to the licensee exemplars (examples 5.3.4 / 5.3.5 and the strategy-basis exemplar invoices) and TD 2024/7 / s8-1 &amp; s25-5 ITAA 1997.</w:t>
      </w:r>
    </w:p>
    <w:p>
      <w:pPr>
        <w:pStyle w:val="Heading1"/>
        <w:spacing w:before="240" w:after="90"/>
      </w:pPr>
      <w:r>
        <w:rPr>
          <w:b/>
          <w:bCs/>
          <w:color w:val="0C2E3F"/>
          <w:sz w:val="28"/>
          <w:szCs w:val="28"/>
          <w:rFonts w:ascii="ABC Arizona Flare" w:cs="ABC Arizona Flare" w:eastAsia="ABC Arizona Flare" w:hAnsi="ABC Arizona Flare"/>
        </w:rPr>
        <w:t xml:space="preserve">Implementation Rules</w:t>
      </w:r>
    </w:p>
    <w:p>
      <w:pPr>
        <w:pStyle w:val="ListParagraph"/>
        <w:numPr>
          <w:ilvl w:val="0"/>
          <w:numId w:val="2"/>
        </w:numPr>
        <w:spacing w:before="15" w:after="35" w:line="266"/>
      </w:pPr>
      <w:r>
        <w:rPr>
          <w:b/>
          <w:bCs/>
          <w:sz w:val="20"/>
          <w:szCs w:val="20"/>
          <w:rFonts w:ascii="Nunito Sans" w:cs="Nunito Sans" w:eastAsia="Nunito Sans" w:hAnsi="Nunito Sans"/>
        </w:rPr>
        <w:t xml:space="preserve">Weighting: </w:t>
      </w:r>
      <w:r>
        <w:rPr>
          <w:b w:val="false"/>
          <w:bCs w:val="false"/>
          <w:sz w:val="20"/>
          <w:szCs w:val="20"/>
          <w:rFonts w:ascii="Nunito Sans" w:cs="Nunito Sans" w:eastAsia="Nunito Sans" w:hAnsi="Nunito Sans"/>
        </w:rPr>
        <w:t xml:space="preserve">each strategy has a weighting guide (wLo–wHi %). The default weighting when a strategy is added is the midpoint of the guide. Weightings on one invoice must total no more than 100%.</w:t>
      </w:r>
    </w:p>
    <w:p>
      <w:pPr>
        <w:pStyle w:val="ListParagraph"/>
        <w:numPr>
          <w:ilvl w:val="0"/>
          <w:numId w:val="2"/>
        </w:numPr>
        <w:spacing w:before="15" w:after="35" w:line="266"/>
      </w:pPr>
      <w:r>
        <w:rPr>
          <w:b/>
          <w:bCs/>
          <w:sz w:val="20"/>
          <w:szCs w:val="20"/>
          <w:rFonts w:ascii="Nunito Sans" w:cs="Nunito Sans" w:eastAsia="Nunito Sans" w:hAnsi="Nunito Sans"/>
        </w:rPr>
        <w:t xml:space="preserve">Deductible %: </w:t>
      </w:r>
      <w:r>
        <w:rPr>
          <w:b w:val="false"/>
          <w:bCs w:val="false"/>
          <w:sz w:val="20"/>
          <w:szCs w:val="20"/>
          <w:rFonts w:ascii="Nunito Sans" w:cs="Nunito Sans" w:eastAsia="Nunito Sans" w:hAnsi="Nunito Sans"/>
        </w:rPr>
        <w:t xml:space="preserve">each strategy has a deductible guide (dLo–dHi %). The default is the LOW end (conservative floor). Quick-set presets are the low end, midpoint and high end of the guide (e.g. a 70–100% guide gives presets 70 / 85 / 100). Values outside the guide are flagged (amber), not blocked.</w:t>
      </w:r>
    </w:p>
    <w:p>
      <w:pPr>
        <w:pStyle w:val="ListParagraph"/>
        <w:numPr>
          <w:ilvl w:val="0"/>
          <w:numId w:val="2"/>
        </w:numPr>
        <w:spacing w:before="15" w:after="35" w:line="266"/>
      </w:pPr>
      <w:r>
        <w:rPr>
          <w:b/>
          <w:bCs/>
          <w:sz w:val="20"/>
          <w:szCs w:val="20"/>
          <w:rFonts w:ascii="Nunito Sans" w:cs="Nunito Sans" w:eastAsia="Nunito Sans" w:hAnsi="Nunito Sans"/>
        </w:rPr>
        <w:t xml:space="preserve">Deduction section: </w:t>
      </w:r>
      <w:r>
        <w:rPr>
          <w:b w:val="false"/>
          <w:bCs w:val="false"/>
          <w:sz w:val="20"/>
          <w:szCs w:val="20"/>
          <w:rFonts w:ascii="Nunito Sans" w:cs="Nunito Sans" w:eastAsia="Nunito Sans" w:hAnsi="Nunito Sans"/>
        </w:rPr>
        <w:t xml:space="preserve">one of s8-1, s25-5, "s25-5 &amp; s8-1", or Non-Deductible. Non-deductible strategies always calculate $0 regardless of any percentage.</w:t>
      </w:r>
    </w:p>
    <w:p>
      <w:pPr>
        <w:pStyle w:val="ListParagraph"/>
        <w:numPr>
          <w:ilvl w:val="0"/>
          <w:numId w:val="2"/>
        </w:numPr>
        <w:spacing w:before="15" w:after="35" w:line="266"/>
      </w:pPr>
      <w:r>
        <w:rPr>
          <w:b/>
          <w:bCs/>
          <w:sz w:val="20"/>
          <w:szCs w:val="20"/>
          <w:rFonts w:ascii="Nunito Sans" w:cs="Nunito Sans" w:eastAsia="Nunito Sans" w:hAnsi="Nunito Sans"/>
        </w:rPr>
        <w:t xml:space="preserve">Deductible amount: </w:t>
      </w:r>
      <w:r>
        <w:rPr>
          <w:b w:val="false"/>
          <w:bCs w:val="false"/>
          <w:sz w:val="20"/>
          <w:szCs w:val="20"/>
          <w:rFonts w:ascii="Nunito Sans" w:cs="Nunito Sans" w:eastAsia="Nunito Sans" w:hAnsi="Nunito Sans"/>
        </w:rPr>
        <w:t xml:space="preserve">fee × weighting% × deductible% per strategy; the invoice itemises each strategy with its weighting, proportion deductible, section and the "summary of why tax related" wording.</w:t>
      </w:r>
    </w:p>
    <w:p>
      <w:pPr>
        <w:pStyle w:val="ListParagraph"/>
        <w:numPr>
          <w:ilvl w:val="0"/>
          <w:numId w:val="2"/>
        </w:numPr>
        <w:spacing w:before="15" w:after="35" w:line="266"/>
      </w:pPr>
      <w:r>
        <w:rPr>
          <w:b/>
          <w:bCs/>
          <w:sz w:val="20"/>
          <w:szCs w:val="20"/>
          <w:rFonts w:ascii="Nunito Sans" w:cs="Nunito Sans" w:eastAsia="Nunito Sans" w:hAnsi="Nunito Sans"/>
        </w:rPr>
        <w:t xml:space="preserve">Default invoice wording: </w:t>
      </w:r>
      <w:r>
        <w:rPr>
          <w:b w:val="false"/>
          <w:bCs w:val="false"/>
          <w:sz w:val="20"/>
          <w:szCs w:val="20"/>
          <w:rFonts w:ascii="Nunito Sans" w:cs="Nunito Sans" w:eastAsia="Nunito Sans" w:hAnsi="Nunito Sans"/>
        </w:rPr>
        <w:t xml:space="preserve">each strategy pre-fills the "summary of why tax related" phrase listed below; the adviser can override it.</w:t>
      </w:r>
    </w:p>
    <w:p>
      <w:pPr>
        <w:pStyle w:val="ListParagraph"/>
        <w:numPr>
          <w:ilvl w:val="0"/>
          <w:numId w:val="2"/>
        </w:numPr>
        <w:spacing w:before="15" w:after="35" w:line="266"/>
      </w:pPr>
      <w:r>
        <w:rPr>
          <w:b/>
          <w:bCs/>
          <w:sz w:val="20"/>
          <w:szCs w:val="20"/>
          <w:rFonts w:ascii="Nunito Sans" w:cs="Nunito Sans" w:eastAsia="Nunito Sans" w:hAnsi="Nunito Sans"/>
        </w:rPr>
        <w:t xml:space="preserve">No QTRP warning: </w:t>
      </w:r>
      <w:r>
        <w:rPr>
          <w:b w:val="false"/>
          <w:bCs w:val="false"/>
          <w:sz w:val="20"/>
          <w:szCs w:val="20"/>
          <w:rFonts w:ascii="Nunito Sans" w:cs="Nunito Sans" w:eastAsia="Nunito Sans" w:hAnsi="Nunito Sans"/>
        </w:rPr>
        <w:t xml:space="preserve">the tool does not show a QTRP/recognised-tax-adviser warning on s25-5 strategies. A factual note about s25-5 requiring a registered tax agent or QTRP stays in the reference/guide text only.</w:t>
      </w:r>
    </w:p>
    <w:p>
      <w:pPr>
        <w:pStyle w:val="ListParagraph"/>
        <w:numPr>
          <w:ilvl w:val="0"/>
          <w:numId w:val="2"/>
        </w:numPr>
        <w:spacing w:before="15" w:after="35" w:line="266"/>
      </w:pPr>
      <w:r>
        <w:rPr>
          <w:b/>
          <w:bCs/>
          <w:sz w:val="20"/>
          <w:szCs w:val="20"/>
          <w:rFonts w:ascii="Nunito Sans" w:cs="Nunito Sans" w:eastAsia="Nunito Sans" w:hAnsi="Nunito Sans"/>
        </w:rPr>
        <w:t xml:space="preserve">Retainer vs ongoing: </w:t>
      </w:r>
      <w:r>
        <w:rPr>
          <w:b w:val="false"/>
          <w:bCs w:val="false"/>
          <w:sz w:val="20"/>
          <w:szCs w:val="20"/>
          <w:rFonts w:ascii="Nunito Sans" w:cs="Nunito Sans" w:eastAsia="Nunito Sans" w:hAnsi="Nunito Sans"/>
        </w:rPr>
        <w:t xml:space="preserve">retainer (upfront) and ongoing fees are always two separate invoices, each with its own strategy list and invoice number — never merged.</w:t>
      </w:r>
    </w:p>
    <w:p>
      <w:pPr>
        <w:pStyle w:val="ListParagraph"/>
        <w:numPr>
          <w:ilvl w:val="0"/>
          <w:numId w:val="2"/>
        </w:numPr>
        <w:spacing w:before="15" w:after="35" w:line="266"/>
      </w:pPr>
      <w:r>
        <w:rPr>
          <w:b/>
          <w:bCs/>
          <w:sz w:val="20"/>
          <w:szCs w:val="20"/>
          <w:rFonts w:ascii="Nunito Sans" w:cs="Nunito Sans" w:eastAsia="Nunito Sans" w:hAnsi="Nunito Sans"/>
        </w:rPr>
        <w:t xml:space="preserve">Excluded rows: </w:t>
      </w:r>
      <w:r>
        <w:rPr>
          <w:b w:val="false"/>
          <w:bCs w:val="false"/>
          <w:sz w:val="20"/>
          <w:szCs w:val="20"/>
          <w:rFonts w:ascii="Nunito Sans" w:cs="Nunito Sans" w:eastAsia="Nunito Sans" w:hAnsi="Nunito Sans"/>
        </w:rPr>
        <w:t xml:space="preserve">no "Product switches" row and no "Recurring investment" row.</w:t>
      </w:r>
    </w:p>
    <w:p>
      <w:pPr>
        <w:pStyle w:val="Heading1"/>
        <w:spacing w:before="240" w:after="90"/>
      </w:pPr>
      <w:r>
        <w:rPr>
          <w:b/>
          <w:bCs/>
          <w:color w:val="0C2E3F"/>
          <w:sz w:val="28"/>
          <w:szCs w:val="28"/>
          <w:rFonts w:ascii="ABC Arizona Flare" w:cs="ABC Arizona Flare" w:eastAsia="ABC Arizona Flare" w:hAnsi="ABC Arizona Flare"/>
        </w:rPr>
        <w:t xml:space="preserve">Summary — All Strategies</w:t>
      </w:r>
    </w:p>
    <w:p>
      <w:pPr>
        <w:spacing w:before="30" w:after="70" w:line="266"/>
      </w:pPr>
      <w:r>
        <w:rPr>
          <w:b/>
          <w:bCs/>
          <w:i w:val="false"/>
          <w:iCs w:val="false"/>
          <w:color w:val="1a1a1a"/>
          <w:sz w:val="19"/>
          <w:szCs w:val="19"/>
          <w:rFonts w:ascii="Nunito Sans" w:cs="Nunito Sans" w:eastAsia="Nunito Sans" w:hAnsi="Nunito Sans"/>
        </w:rPr>
        <w:t xml:space="preserve">Highlighted ⚠ rows are NOT directly supported by an exemplar</w:t>
      </w:r>
      <w:r>
        <w:rPr>
          <w:b w:val="false"/>
          <w:bCs w:val="false"/>
          <w:i w:val="false"/>
          <w:iCs w:val="false"/>
          <w:color w:val="1a1a1a"/>
          <w:sz w:val="19"/>
          <w:szCs w:val="19"/>
          <w:rFonts w:ascii="Nunito Sans" w:cs="Nunito Sans" w:eastAsia="Nunito Sans" w:hAnsi="Nunito Sans"/>
        </w:rPr>
        <w:t xml:space="preserve"> — they are house settings or analogies and require manual review and approval by the team (full reasons in the “Items Requiring Manual Review” section).</w:t>
      </w:r>
    </w:p>
    <w:tbl>
      <w:tblPr>
        <w:tblW w:type="dxa" w:w="9026"/>
        <w:tblBorders>
          <w:top w:val="single" w:color="D4E2EE" w:sz="4"/>
          <w:left w:val="single" w:color="D4E2EE" w:sz="4"/>
          <w:bottom w:val="single" w:color="D4E2EE" w:sz="4"/>
          <w:right w:val="single" w:color="D4E2EE" w:sz="4"/>
          <w:insideH w:val="single" w:color="D4E2EE" w:sz="4"/>
          <w:insideV w:val="single" w:color="D4E2EE" w:sz="4"/>
        </w:tblBorders>
      </w:tblPr>
      <w:tblGrid>
        <w:gridCol w:w="2950"/>
        <w:gridCol w:w="1050"/>
        <w:gridCol w:w="1200"/>
        <w:gridCol w:w="1150"/>
        <w:gridCol w:w="2676"/>
      </w:tblGrid>
      <w:tr>
        <w:trPr>
          <w:tblHeader/>
        </w:trPr>
        <w:tc>
          <w:tcPr>
            <w:tcW w:type="dxa" w:w="2950"/>
            <w:shd w:fill="0C2E3F" w:val="clear"/>
            <w:tcMar>
              <w:top w:type="dxa" w:w="60"/>
              <w:left w:type="dxa" w:w="110"/>
              <w:bottom w:type="dxa" w:w="60"/>
              <w:right w:type="dxa" w:w="110"/>
            </w:tcMar>
          </w:tcPr>
          <w:p>
            <w:pPr>
              <w:spacing w:before="0" w:after="0" w:line="250"/>
            </w:pPr>
            <w:r>
              <w:rPr>
                <w:b/>
                <w:bCs/>
                <w:color w:val="FFFFFF"/>
                <w:sz w:val="18"/>
                <w:szCs w:val="18"/>
                <w:rFonts w:ascii="Nunito Sans" w:cs="Nunito Sans" w:eastAsia="Nunito Sans" w:hAnsi="Nunito Sans"/>
              </w:rPr>
              <w:t xml:space="preserve">Strategy</w:t>
            </w:r>
          </w:p>
        </w:tc>
        <w:tc>
          <w:tcPr>
            <w:tcW w:type="dxa" w:w="1050"/>
            <w:shd w:fill="0C2E3F" w:val="clear"/>
            <w:tcMar>
              <w:top w:type="dxa" w:w="60"/>
              <w:left w:type="dxa" w:w="110"/>
              <w:bottom w:type="dxa" w:w="60"/>
              <w:right w:type="dxa" w:w="110"/>
            </w:tcMar>
          </w:tcPr>
          <w:p>
            <w:pPr>
              <w:spacing w:before="0" w:after="0" w:line="250"/>
            </w:pPr>
            <w:r>
              <w:rPr>
                <w:b/>
                <w:bCs/>
                <w:color w:val="FFFFFF"/>
                <w:sz w:val="18"/>
                <w:szCs w:val="18"/>
                <w:rFonts w:ascii="Nunito Sans" w:cs="Nunito Sans" w:eastAsia="Nunito Sans" w:hAnsi="Nunito Sans"/>
              </w:rPr>
              <w:t xml:space="preserve">Weighting</w:t>
            </w:r>
          </w:p>
        </w:tc>
        <w:tc>
          <w:tcPr>
            <w:tcW w:type="dxa" w:w="1200"/>
            <w:shd w:fill="0C2E3F" w:val="clear"/>
            <w:tcMar>
              <w:top w:type="dxa" w:w="60"/>
              <w:left w:type="dxa" w:w="110"/>
              <w:bottom w:type="dxa" w:w="60"/>
              <w:right w:type="dxa" w:w="110"/>
            </w:tcMar>
          </w:tcPr>
          <w:p>
            <w:pPr>
              <w:spacing w:before="0" w:after="0" w:line="250"/>
            </w:pPr>
            <w:r>
              <w:rPr>
                <w:b/>
                <w:bCs/>
                <w:color w:val="FFFFFF"/>
                <w:sz w:val="18"/>
                <w:szCs w:val="18"/>
                <w:rFonts w:ascii="Nunito Sans" w:cs="Nunito Sans" w:eastAsia="Nunito Sans" w:hAnsi="Nunito Sans"/>
              </w:rPr>
              <w:t xml:space="preserve">Deductible</w:t>
            </w:r>
          </w:p>
        </w:tc>
        <w:tc>
          <w:tcPr>
            <w:tcW w:type="dxa" w:w="1150"/>
            <w:shd w:fill="0C2E3F" w:val="clear"/>
            <w:tcMar>
              <w:top w:type="dxa" w:w="60"/>
              <w:left w:type="dxa" w:w="110"/>
              <w:bottom w:type="dxa" w:w="60"/>
              <w:right w:type="dxa" w:w="110"/>
            </w:tcMar>
          </w:tcPr>
          <w:p>
            <w:pPr>
              <w:spacing w:before="0" w:after="0" w:line="250"/>
            </w:pPr>
            <w:r>
              <w:rPr>
                <w:b/>
                <w:bCs/>
                <w:color w:val="FFFFFF"/>
                <w:sz w:val="18"/>
                <w:szCs w:val="18"/>
                <w:rFonts w:ascii="Nunito Sans" w:cs="Nunito Sans" w:eastAsia="Nunito Sans" w:hAnsi="Nunito Sans"/>
              </w:rPr>
              <w:t xml:space="preserve">Section</w:t>
            </w:r>
          </w:p>
        </w:tc>
        <w:tc>
          <w:tcPr>
            <w:tcW w:type="dxa" w:w="2676"/>
            <w:shd w:fill="0C2E3F" w:val="clear"/>
            <w:tcMar>
              <w:top w:type="dxa" w:w="60"/>
              <w:left w:type="dxa" w:w="110"/>
              <w:bottom w:type="dxa" w:w="60"/>
              <w:right w:type="dxa" w:w="110"/>
            </w:tcMar>
          </w:tcPr>
          <w:p>
            <w:pPr>
              <w:spacing w:before="0" w:after="0" w:line="250"/>
            </w:pPr>
            <w:r>
              <w:rPr>
                <w:b/>
                <w:bCs/>
                <w:color w:val="FFFFFF"/>
                <w:sz w:val="18"/>
                <w:szCs w:val="18"/>
                <w:rFonts w:ascii="Nunito Sans" w:cs="Nunito Sans" w:eastAsia="Nunito Sans" w:hAnsi="Nunito Sans"/>
              </w:rPr>
              <w:t xml:space="preserve">Presets (low / mid / high)</w:t>
            </w:r>
          </w:p>
        </w:tc>
      </w:tr>
      <w:tr>
        <w:tc>
          <w:tcPr>
            <w:tcW w:type="dxa" w:w="9026"/>
            <w:gridSpan w:val="5"/>
            <w:shd w:fill="2B6FD6" w:val="clear"/>
            <w:tcMar>
              <w:top w:type="dxa" w:w="60"/>
              <w:left w:type="dxa" w:w="110"/>
              <w:bottom w:type="dxa" w:w="60"/>
              <w:right w:type="dxa" w:w="110"/>
            </w:tcMar>
          </w:tcPr>
          <w:p>
            <w:pPr>
              <w:spacing w:before="0" w:after="0"/>
            </w:pPr>
            <w:r>
              <w:rPr>
                <w:b/>
                <w:bCs/>
                <w:color w:val="FFFFFF"/>
                <w:sz w:val="19"/>
                <w:szCs w:val="19"/>
                <w:rFonts w:ascii="Nunito Sans" w:cs="Nunito Sans" w:eastAsia="Nunito Sans" w:hAnsi="Nunito Sans"/>
              </w:rPr>
              <w:t xml:space="preserve">Super &amp; Retirement</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Salary Sacrifice to Superannuation</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100–100%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Personal Deductible Concessional Contributions</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100–100%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Non-Concessional (After-Tax) Contributions</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100–100%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Spouse Contributions / Contribution Splitting</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5–15%</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0–30%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15 / 30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Downsizer Contributions</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5–15%</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0–20%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 / 20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Re-contribution Strategy</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0–30%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15 / 30</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Commencement of an Account Based Pension (ABP)</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10–25%</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80–80%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Commencement of a Transition to Retirement (TTR)</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10–25%</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80–80%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Ongoing Superannuation &amp; Pension Management</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20–60%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0–80%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40 / 80</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Rollover Existing Super to New Fund/Platform</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10–25%</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Consolidate Multiple Superannuation Accounts</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5–15%</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0–10%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 / 10</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Review/Optimise Investment Strategy within Super</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9026"/>
            <w:gridSpan w:val="5"/>
            <w:shd w:fill="2B6FD6" w:val="clear"/>
            <w:tcMar>
              <w:top w:type="dxa" w:w="60"/>
              <w:left w:type="dxa" w:w="110"/>
              <w:bottom w:type="dxa" w:w="60"/>
              <w:right w:type="dxa" w:w="110"/>
            </w:tcMar>
          </w:tcPr>
          <w:p>
            <w:pPr>
              <w:spacing w:before="0" w:after="0"/>
            </w:pPr>
            <w:r>
              <w:rPr>
                <w:b/>
                <w:bCs/>
                <w:color w:val="FFFFFF"/>
                <w:sz w:val="19"/>
                <w:szCs w:val="19"/>
                <w:rFonts w:ascii="Nunito Sans" w:cs="Nunito Sans" w:eastAsia="Nunito Sans" w:hAnsi="Nunito Sans"/>
              </w:rPr>
              <w:t xml:space="preserve">Investments</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Establish a New Investment Portfolio (from scratch)</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20–60%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Ongoing Management of an Existing Investment Portfolio</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20–70%</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70–80%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 / 75 / 80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Investment Portfolio Review &amp; Rebalancing</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10–40%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70–80%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 / 75 / 80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Gearing Strategy Advice (Deductible Debt)</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20–70%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70–100%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 / 85 / 100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ETF Investment Advice (related to existing portfolio)</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70–80%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 / 75 / 80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Managed Fund / LIC Investment Review</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70–80%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 / 75 / 80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Tax-Loss Harvesting Strategy</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80–100%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 / 90 / 100</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Investment Structuring Advice (e.g., Trust, Company)</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80–80%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Investment Bond Advice</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80–80%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w:t>
            </w:r>
          </w:p>
        </w:tc>
      </w:tr>
      <w:tr>
        <w:tc>
          <w:tcPr>
            <w:tcW w:type="dxa" w:w="9026"/>
            <w:gridSpan w:val="5"/>
            <w:shd w:fill="2B6FD6" w:val="clear"/>
            <w:tcMar>
              <w:top w:type="dxa" w:w="60"/>
              <w:left w:type="dxa" w:w="110"/>
              <w:bottom w:type="dxa" w:w="60"/>
              <w:right w:type="dxa" w:w="110"/>
            </w:tcMar>
          </w:tcPr>
          <w:p>
            <w:pPr>
              <w:spacing w:before="0" w:after="0"/>
            </w:pPr>
            <w:r>
              <w:rPr>
                <w:b/>
                <w:bCs/>
                <w:color w:val="FFFFFF"/>
                <w:sz w:val="19"/>
                <w:szCs w:val="19"/>
                <w:rFonts w:ascii="Nunito Sans" w:cs="Nunito Sans" w:eastAsia="Nunito Sans" w:hAnsi="Nunito Sans"/>
              </w:rPr>
              <w:t xml:space="preserve">Insurance</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Income Protection Insurance Application/Review</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100–100%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Income Protection Insurance (held via superannuation)</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0–20%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 / 20</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Personal Life/TPD/Trauma Insurance Advice (outside super)</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Super-owned Life/TPD Insurance Advice</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20–20%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Advice on Structuring Insurance Inside vs. Outside Super</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0–30%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15 / 30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Business Expenses Insurance Advice</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5–15%</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70–100%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s8-1</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 / 85 / 100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Key Person Insurance (Deductibility Analysis)</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20–60%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 / 40 / 60</w:t>
            </w:r>
          </w:p>
        </w:tc>
      </w:tr>
      <w:tr>
        <w:tc>
          <w:tcPr>
            <w:tcW w:type="dxa" w:w="9026"/>
            <w:gridSpan w:val="5"/>
            <w:shd w:fill="2B6FD6" w:val="clear"/>
            <w:tcMar>
              <w:top w:type="dxa" w:w="60"/>
              <w:left w:type="dxa" w:w="110"/>
              <w:bottom w:type="dxa" w:w="60"/>
              <w:right w:type="dxa" w:w="110"/>
            </w:tcMar>
          </w:tcPr>
          <w:p>
            <w:pPr>
              <w:spacing w:before="0" w:after="0"/>
            </w:pPr>
            <w:r>
              <w:rPr>
                <w:b/>
                <w:bCs/>
                <w:color w:val="FFFFFF"/>
                <w:sz w:val="19"/>
                <w:szCs w:val="19"/>
                <w:rFonts w:ascii="Nunito Sans" w:cs="Nunito Sans" w:eastAsia="Nunito Sans" w:hAnsi="Nunito Sans"/>
              </w:rPr>
              <w:t xml:space="preserve">Debt, Cash Flow &amp; Centrelink</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Paying down a Non-Deductible Debt (e.g., family home)</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5–25%</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Bank Account &amp; Offset Structuring</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5–15%</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20–20%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Debt Recycling Strategy</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20–70%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70–100%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 / 85 / 100</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General Budgeting and Cash Flow Management</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Maximise Centrelink/DVA Entitlements (Tax Implications)</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0–80%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 &amp; s8-1</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40 / 80</w:t>
            </w:r>
          </w:p>
        </w:tc>
      </w:tr>
      <w:tr>
        <w:tc>
          <w:tcPr>
            <w:tcW w:type="dxa" w:w="9026"/>
            <w:gridSpan w:val="5"/>
            <w:shd w:fill="2B6FD6" w:val="clear"/>
            <w:tcMar>
              <w:top w:type="dxa" w:w="60"/>
              <w:left w:type="dxa" w:w="110"/>
              <w:bottom w:type="dxa" w:w="60"/>
              <w:right w:type="dxa" w:w="110"/>
            </w:tcMar>
          </w:tcPr>
          <w:p>
            <w:pPr>
              <w:spacing w:before="0" w:after="0"/>
            </w:pPr>
            <w:r>
              <w:rPr>
                <w:b/>
                <w:bCs/>
                <w:color w:val="FFFFFF"/>
                <w:sz w:val="19"/>
                <w:szCs w:val="19"/>
                <w:rFonts w:ascii="Nunito Sans" w:cs="Nunito Sans" w:eastAsia="Nunito Sans" w:hAnsi="Nunito Sans"/>
              </w:rPr>
              <w:t xml:space="preserve">SMSF</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SMSF Establishment and Structuring Advice</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0–80%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40 / 80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SMSF Contribution Strategy Advice</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100–100%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SMSF Pension Strategy Advice (inc. Segregation)</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80–80%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SMSF Investment Strategy (Compliance &amp; Review)</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10–40%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0–70%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35 / 70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SMSF Borrowing / Limited Recourse Borrowing Arrangement (LRBA)</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Advice on Winding Up an SMSF</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0–20%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 / 20</w:t>
            </w:r>
          </w:p>
        </w:tc>
      </w:tr>
      <w:tr>
        <w:tc>
          <w:tcPr>
            <w:tcW w:type="dxa" w:w="9026"/>
            <w:gridSpan w:val="5"/>
            <w:shd w:fill="2B6FD6" w:val="clear"/>
            <w:tcMar>
              <w:top w:type="dxa" w:w="60"/>
              <w:left w:type="dxa" w:w="110"/>
              <w:bottom w:type="dxa" w:w="60"/>
              <w:right w:type="dxa" w:w="110"/>
            </w:tcMar>
          </w:tcPr>
          <w:p>
            <w:pPr>
              <w:spacing w:before="0" w:after="0"/>
            </w:pPr>
            <w:r>
              <w:rPr>
                <w:b/>
                <w:bCs/>
                <w:color w:val="FFFFFF"/>
                <w:sz w:val="19"/>
                <w:szCs w:val="19"/>
                <w:rFonts w:ascii="Nunito Sans" w:cs="Nunito Sans" w:eastAsia="Nunito Sans" w:hAnsi="Nunito Sans"/>
              </w:rPr>
              <w:t xml:space="preserve">Estate &amp; Business</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Estate Planning Advice (e.g., Testamentary Trusts)</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29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Advice on Death Benefit Nominations (Super)</w:t>
            </w:r>
          </w:p>
        </w:tc>
        <w:tc>
          <w:tcPr>
            <w:tcW w:type="dxa" w:w="10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5–15%</w:t>
            </w:r>
          </w:p>
        </w:tc>
        <w:tc>
          <w:tcPr>
            <w:tcW w:type="dxa" w:w="120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w:t>
            </w:r>
          </w:p>
        </w:tc>
        <w:tc>
          <w:tcPr>
            <w:tcW w:type="dxa" w:w="1150"/>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Non-Deductible</w:t>
            </w:r>
          </w:p>
        </w:tc>
        <w:tc>
          <w:tcPr>
            <w:tcW w:type="dxa" w:w="2676"/>
            <w:shd w:fill="EAF4FB"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Business Succession Planning (Tax Implications)</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10–30%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0–40%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 / 40</w:t>
            </w:r>
          </w:p>
        </w:tc>
      </w:tr>
      <w:tr>
        <w:tc>
          <w:tcPr>
            <w:tcW w:type="dxa" w:w="295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 Small Business CGT Concessions Advice</w:t>
            </w:r>
          </w:p>
        </w:tc>
        <w:tc>
          <w:tcPr>
            <w:tcW w:type="dxa" w:w="10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5–20%</w:t>
            </w:r>
          </w:p>
        </w:tc>
        <w:tc>
          <w:tcPr>
            <w:tcW w:type="dxa" w:w="12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70–100%</w:t>
            </w:r>
          </w:p>
        </w:tc>
        <w:tc>
          <w:tcPr>
            <w:tcW w:type="dxa" w:w="115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 / 85 / 100</w:t>
            </w:r>
          </w:p>
        </w:tc>
      </w:tr>
      <w:tr>
        <w:tc>
          <w:tcPr>
            <w:tcW w:type="dxa" w:w="9026"/>
            <w:gridSpan w:val="5"/>
            <w:shd w:fill="2B6FD6" w:val="clear"/>
            <w:tcMar>
              <w:top w:type="dxa" w:w="60"/>
              <w:left w:type="dxa" w:w="110"/>
              <w:bottom w:type="dxa" w:w="60"/>
              <w:right w:type="dxa" w:w="110"/>
            </w:tcMar>
          </w:tcPr>
          <w:p>
            <w:pPr>
              <w:spacing w:before="0" w:after="0"/>
            </w:pPr>
            <w:r>
              <w:rPr>
                <w:b/>
                <w:bCs/>
                <w:color w:val="FFFFFF"/>
                <w:sz w:val="19"/>
                <w:szCs w:val="19"/>
                <w:rFonts w:ascii="Nunito Sans" w:cs="Nunito Sans" w:eastAsia="Nunito Sans" w:hAnsi="Nunito Sans"/>
              </w:rPr>
              <w:t xml:space="preserve">General</w:t>
            </w:r>
          </w:p>
        </w:tc>
      </w:tr>
      <w:tr>
        <w:tc>
          <w:tcPr>
            <w:tcW w:type="dxa" w:w="29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Financial Modelling &amp; Tax Projections</w:t>
            </w:r>
          </w:p>
        </w:tc>
        <w:tc>
          <w:tcPr>
            <w:tcW w:type="dxa" w:w="10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5–15%</w:t>
            </w:r>
          </w:p>
        </w:tc>
        <w:tc>
          <w:tcPr>
            <w:tcW w:type="dxa" w:w="120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100–100%</w:t>
            </w:r>
          </w:p>
        </w:tc>
        <w:tc>
          <w:tcPr>
            <w:tcW w:type="dxa" w:w="1150"/>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s25-5</w:t>
            </w:r>
          </w:p>
        </w:tc>
        <w:tc>
          <w:tcPr>
            <w:tcW w:type="dxa" w:w="2676"/>
            <w:shd w:fill="E5F4F6"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w:t>
            </w:r>
          </w:p>
        </w:tc>
      </w:tr>
    </w:tbl>
    <w:p>
      <w:pPr>
        <w:pStyle w:val="Heading1"/>
        <w:spacing w:before="240" w:after="90"/>
      </w:pPr>
      <w:r>
        <w:rPr>
          <w:b/>
          <w:bCs/>
          <w:color w:val="0C2E3F"/>
          <w:sz w:val="28"/>
          <w:szCs w:val="28"/>
          <w:rFonts w:ascii="ABC Arizona Flare" w:cs="ABC Arizona Flare" w:eastAsia="ABC Arizona Flare" w:hAnsi="ABC Arizona Flare"/>
        </w:rPr>
        <w:t xml:space="preserve">Items Requiring Manual Review — No Direct Exemplar</w:t>
      </w:r>
    </w:p>
    <w:p>
      <w:pPr>
        <w:spacing w:before="30" w:after="70" w:line="266"/>
      </w:pPr>
      <w:r>
        <w:rPr>
          <w:b w:val="false"/>
          <w:bCs w:val="false"/>
          <w:i w:val="false"/>
          <w:iCs w:val="false"/>
          <w:color w:val="1a1a1a"/>
          <w:sz w:val="19"/>
          <w:szCs w:val="19"/>
          <w:rFonts w:ascii="Nunito Sans" w:cs="Nunito Sans" w:eastAsia="Nunito Sans" w:hAnsi="Nunito Sans"/>
        </w:rPr>
        <w:t xml:space="preserve">Every setting below is a house decision or an analogy, not a value taken from an exemplar. The team should review and approve each one (or supply an exemplar covering it).</w:t>
      </w:r>
    </w:p>
    <w:tbl>
      <w:tblPr>
        <w:tblW w:type="dxa" w:w="9026"/>
        <w:tblBorders>
          <w:top w:val="single" w:color="D4E2EE" w:sz="4"/>
          <w:left w:val="single" w:color="D4E2EE" w:sz="4"/>
          <w:bottom w:val="single" w:color="D4E2EE" w:sz="4"/>
          <w:right w:val="single" w:color="D4E2EE" w:sz="4"/>
          <w:insideH w:val="single" w:color="D4E2EE" w:sz="4"/>
          <w:insideV w:val="single" w:color="D4E2EE" w:sz="4"/>
        </w:tblBorders>
      </w:tblPr>
      <w:tblGrid>
        <w:gridCol w:w="3100"/>
        <w:gridCol w:w="1500"/>
        <w:gridCol w:w="4426"/>
      </w:tblGrid>
      <w:tr>
        <w:trPr>
          <w:tblHeader/>
        </w:trPr>
        <w:tc>
          <w:tcPr>
            <w:tcW w:type="dxa" w:w="3100"/>
            <w:shd w:fill="0C2E3F" w:val="clear"/>
            <w:tcMar>
              <w:top w:type="dxa" w:w="60"/>
              <w:left w:type="dxa" w:w="110"/>
              <w:bottom w:type="dxa" w:w="60"/>
              <w:right w:type="dxa" w:w="110"/>
            </w:tcMar>
          </w:tcPr>
          <w:p>
            <w:pPr>
              <w:spacing w:before="0" w:after="0" w:line="250"/>
            </w:pPr>
            <w:r>
              <w:rPr>
                <w:b/>
                <w:bCs/>
                <w:color w:val="FFFFFF"/>
                <w:sz w:val="18"/>
                <w:szCs w:val="18"/>
                <w:rFonts w:ascii="Nunito Sans" w:cs="Nunito Sans" w:eastAsia="Nunito Sans" w:hAnsi="Nunito Sans"/>
              </w:rPr>
              <w:t xml:space="preserve">Strategy</w:t>
            </w:r>
          </w:p>
        </w:tc>
        <w:tc>
          <w:tcPr>
            <w:tcW w:type="dxa" w:w="1500"/>
            <w:shd w:fill="0C2E3F" w:val="clear"/>
            <w:tcMar>
              <w:top w:type="dxa" w:w="60"/>
              <w:left w:type="dxa" w:w="110"/>
              <w:bottom w:type="dxa" w:w="60"/>
              <w:right w:type="dxa" w:w="110"/>
            </w:tcMar>
          </w:tcPr>
          <w:p>
            <w:pPr>
              <w:spacing w:before="0" w:after="0" w:line="250"/>
            </w:pPr>
            <w:r>
              <w:rPr>
                <w:b/>
                <w:bCs/>
                <w:color w:val="FFFFFF"/>
                <w:sz w:val="18"/>
                <w:szCs w:val="18"/>
                <w:rFonts w:ascii="Nunito Sans" w:cs="Nunito Sans" w:eastAsia="Nunito Sans" w:hAnsi="Nunito Sans"/>
              </w:rPr>
              <w:t xml:space="preserve">Setting</w:t>
            </w:r>
          </w:p>
        </w:tc>
        <w:tc>
          <w:tcPr>
            <w:tcW w:type="dxa" w:w="4426"/>
            <w:shd w:fill="0C2E3F" w:val="clear"/>
            <w:tcMar>
              <w:top w:type="dxa" w:w="60"/>
              <w:left w:type="dxa" w:w="110"/>
              <w:bottom w:type="dxa" w:w="60"/>
              <w:right w:type="dxa" w:w="110"/>
            </w:tcMar>
          </w:tcPr>
          <w:p>
            <w:pPr>
              <w:spacing w:before="0" w:after="0" w:line="250"/>
            </w:pPr>
            <w:r>
              <w:rPr>
                <w:b/>
                <w:bCs/>
                <w:color w:val="FFFFFF"/>
                <w:sz w:val="18"/>
                <w:szCs w:val="18"/>
                <w:rFonts w:ascii="Nunito Sans" w:cs="Nunito Sans" w:eastAsia="Nunito Sans" w:hAnsi="Nunito Sans"/>
              </w:rPr>
              <w:t xml:space="preserve">Basis / what to review</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Spouse Contributions / Contribution Splitting</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0–30%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Conservative 0–30% house range.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Downsizer Contributions</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0–20%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Conservative 0–20% house range (external review concurs).</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Re-contribution Strategy</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0–30%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Conservative 0–30% house range (external review concurs).</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Commencement of a Transition to Retirement (TTR)</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80–80%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TTR exemplar — 80% set by ANALOGY to the exemplified ABP treatment.</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Consolidate Multiple Superannuation Accounts</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0–10%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Conservative 0–10% house range.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Investment Portfolio Review &amp; Rebalancing</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70–80% · s25-5 &amp; s8-1</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named exemplar row — 70–80% by analogy: treated as the exemplified review of existing income-producing investments.</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Gearing Strategy Advice (Deductible Debt)</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70–100% · s25-5 &amp; s8-1</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 70–100% is a HOUSE DECISION (debt structuring: investment property/share loans, refinancing). Nearest exemplar figure for any debt-adjacent advice is offset structuring at 20%.</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ETF Investment Advice (related to existing portfolio)</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70–80% · s25-5 &amp; s8-1</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named exemplar row — 70–80% by analogy to the exemplified existing-investment review.</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Managed Fund / LIC Investment Review</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70–80% · s25-5 &amp; s8-1</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named exemplar row — 70–80% by analogy to the exemplified existing-investment review.</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Tax-Loss Harvesting Strategy</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80–100%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80–100% rests on the CGT-management reasoning of s25-5 alone.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Income Protection Insurance (held via superannuation)</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0–20%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standalone exemplar (the 65% exemplar line is a blend). Conservative 0–20% house range.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Advice on Structuring Insurance Inside vs. Outside Super</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0–30%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Conservative 0–30% house range.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Business Expenses Insurance Advice</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70–100% · s8-1</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70–100% rests on the standard s8-1 premium-deductibility position.</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Key Person Insurance (Deductibility Analysis)</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20–60%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20–60% house range.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Debt Recycling Strategy</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70–100% · s25-5 &amp; s8-1</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 70–100% is a HOUSE DECISION (debt structuring / converting private debt to deductible investment debt).</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SMSF Contribution Strategy Advice</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100–100%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SMSF exemplar — 100% set by ANALOGY to the exemplified CC/NCC contribution treatment.</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SMSF Investment Strategy (Compliance &amp; Review)</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0–70%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0–70% (floor aligned to example 5.3.4’s 0% pole; the 70% top is unexemplified).</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SMSF Borrowing / Limited Recourse Borrowing Arrangement (LRBA)</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 · Non-Deductible</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0–20% house range.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Advice on Winding Up an SMSF</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0–20%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0–20% house range.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Business Succession Planning (Tax Implications)</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0–40%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0–40% house range.</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Small Business CGT Concessions Advice</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70–100%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No exemplar. 70–100% rests on Division 152 being pure tax-affairs work.</w:t>
            </w:r>
          </w:p>
        </w:tc>
      </w:tr>
      <w:tr>
        <w:tc>
          <w:tcPr>
            <w:tcW w:type="dxa" w:w="3100"/>
            <w:shd w:fill="FFF3B8" w:val="clear"/>
            <w:tcMar>
              <w:top w:type="dxa" w:w="60"/>
              <w:left w:type="dxa" w:w="110"/>
              <w:bottom w:type="dxa" w:w="60"/>
              <w:right w:type="dxa" w:w="110"/>
            </w:tcMar>
          </w:tcPr>
          <w:p>
            <w:pPr>
              <w:spacing w:before="0" w:after="0" w:line="250"/>
            </w:pPr>
            <w:r>
              <w:rPr>
                <w:b/>
                <w:bCs/>
                <w:color w:val="1a1a1a"/>
                <w:sz w:val="18"/>
                <w:szCs w:val="18"/>
                <w:rFonts w:ascii="Nunito Sans" w:cs="Nunito Sans" w:eastAsia="Nunito Sans" w:hAnsi="Nunito Sans"/>
              </w:rPr>
              <w:t xml:space="preserve">Bank Account &amp; Offset Structuring — wording only</w:t>
            </w:r>
          </w:p>
        </w:tc>
        <w:tc>
          <w:tcPr>
            <w:tcW w:type="dxa" w:w="1500"/>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20% · s25-5</w:t>
            </w:r>
          </w:p>
        </w:tc>
        <w:tc>
          <w:tcPr>
            <w:tcW w:type="dxa" w:w="4426"/>
            <w:shd w:fill="FFF3B8" w:val="clear"/>
            <w:tcMar>
              <w:top w:type="dxa" w:w="60"/>
              <w:left w:type="dxa" w:w="110"/>
              <w:bottom w:type="dxa" w:w="60"/>
              <w:right w:type="dxa" w:w="110"/>
            </w:tcMar>
          </w:tcPr>
          <w:p>
            <w:pPr>
              <w:spacing w:before="0" w:after="0" w:line="250"/>
            </w:pPr>
            <w:r>
              <w:rPr>
                <w:b w:val="false"/>
                <w:bCs w:val="false"/>
                <w:color w:val="1a1a1a"/>
                <w:sz w:val="18"/>
                <w:szCs w:val="18"/>
                <w:rFonts w:ascii="Nunito Sans" w:cs="Nunito Sans" w:eastAsia="Nunito Sans" w:hAnsi="Nunito Sans"/>
              </w:rPr>
              <w:t xml:space="preserve">Rate IS exemplified (invoice #1). The invoice wording deliberately deviates from the exemplar’s “reduces assessable income” to “tax implications of the structuring”, because a home-loan offset reduces non-deductible interest, not assessable income. Approve the wording change.</w:t>
            </w:r>
          </w:p>
        </w:tc>
      </w:tr>
    </w:tbl>
    <w:p>
      <w:pPr>
        <w:pStyle w:val="Heading1"/>
        <w:spacing w:before="240" w:after="90"/>
      </w:pPr>
      <w:r>
        <w:rPr>
          <w:b/>
          <w:bCs/>
          <w:color w:val="0C2E3F"/>
          <w:sz w:val="28"/>
          <w:szCs w:val="28"/>
          <w:rFonts w:ascii="ABC Arizona Flare" w:cs="ABC Arizona Flare" w:eastAsia="ABC Arizona Flare" w:hAnsi="ABC Arizona Flare"/>
        </w:rPr>
        <w:t xml:space="preserve">Full Strategy Detail</w:t>
      </w:r>
    </w:p>
    <w:p>
      <w:pPr>
        <w:pStyle w:val="Heading2"/>
        <w:spacing w:before="180" w:after="70"/>
      </w:pPr>
      <w:r>
        <w:rPr>
          <w:b/>
          <w:bCs/>
          <w:color w:val="2B6FD6"/>
          <w:sz w:val="23"/>
          <w:szCs w:val="23"/>
          <w:rFonts w:ascii="ABC Arizona Flare" w:cs="ABC Arizona Flare" w:eastAsia="ABC Arizona Flare" w:hAnsi="ABC Arizona Flare"/>
        </w:rPr>
        <w:t xml:space="preserve">Super &amp; Retirement</w:t>
      </w:r>
    </w:p>
    <w:p>
      <w:pPr>
        <w:keepNext/>
        <w:spacing w:before="140" w:after="40"/>
      </w:pPr>
      <w:r>
        <w:rPr>
          <w:b/>
          <w:bCs/>
          <w:color w:val="0C2E3F"/>
          <w:sz w:val="21"/>
          <w:szCs w:val="21"/>
          <w:rFonts w:ascii="Nunito Sans" w:cs="Nunito Sans" w:eastAsia="Nunito Sans" w:hAnsi="Nunito Sans"/>
        </w:rPr>
        <w:t xml:space="preserve">Salary Sacrifice to Superannuation</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100% (default 100%)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5.3.4 (100%); strategy-basis exemplar (100%); Dave &amp; Sally</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salary sacrifice strategies to reduce taxable income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salary sacrifice as an employment remuneration arrangement, PAYG/taxable income reduction, concessional cap utilisation, employer payroll treatment, SG interaction and tax-effective contribution levels.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100% — salary sacrifice advice inherently involves advising on the tax treatment of sacrificing salary to super and reducing assessable income (licensee example 5.3.4 and the strategy-basis exemplar both apply 100%). Reduce only where the file shows the advice was mainly remuneration packaging or retirement accumulation with no tax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Salary sacrifice reduces assessable income (deducting super prior to PAYG) and involves advising on the tax implications of sacrificing into superannuation — treated as fully deductible tax (financial) advice under s25-5 in the exemplars.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salary sacrifice calculations, PAYG/taxable income comparison, concessional cap worksheet, employer payroll notes, contribution schedule and file note identifying tax-driven component versus retirement accumulation component.</w:t>
      </w:r>
    </w:p>
    <w:p>
      <w:pPr>
        <w:keepNext/>
        <w:spacing w:before="140" w:after="40"/>
      </w:pPr>
      <w:r>
        <w:rPr>
          <w:b/>
          <w:bCs/>
          <w:color w:val="0C2E3F"/>
          <w:sz w:val="21"/>
          <w:szCs w:val="21"/>
          <w:rFonts w:ascii="Nunito Sans" w:cs="Nunito Sans" w:eastAsia="Nunito Sans" w:hAnsi="Nunito Sans"/>
        </w:rPr>
        <w:t xml:space="preserve">Personal Deductible Concessional Contributions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100% (default 100%)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5.3.4 (100%)</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making tax-deductible personal superannuation contributions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there is a clear tax deduction nexus, including NOI requirements, Div293 analysis, carry-forward concessional cap analysis, explicit deduction optimisation, taxable income reduction modelling or contribution deductibility advice.</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100% — a tax-deductible contribution as well as increasing super benefits (licensee example 5.3.4 applies 100% to concessional contributions up to the cap). Reduce only where the contribution advice was incidental to broader accumulation planning with no deduction/cap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Advice on making tax-deductible personal contributions (NOI, caps, Division 293) is advice on applying taxation laws — fully deductible under s25-5 per the exemplars.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NOI checklist, concessional cap and carry-forward cap calculations, Division 293 assessment, taxable income projections, deduction optimisation notes, accountant correspondence and signed advice file note.</w:t>
      </w:r>
    </w:p>
    <w:p>
      <w:pPr>
        <w:keepNext/>
        <w:spacing w:before="140" w:after="40"/>
      </w:pPr>
      <w:r>
        <w:rPr>
          <w:b/>
          <w:bCs/>
          <w:color w:val="0C2E3F"/>
          <w:sz w:val="21"/>
          <w:szCs w:val="21"/>
          <w:rFonts w:ascii="Nunito Sans" w:cs="Nunito Sans" w:eastAsia="Nunito Sans" w:hAnsi="Nunito Sans"/>
        </w:rPr>
        <w:t xml:space="preserve">Non-Concessional (After-Tax) Contributions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100% (default 100%)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Strategy-basis exemplar (100%); Dave &amp; Sally (s25-5)</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superannuation contribution caps (Concessional/Non-concessional)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after-tax (non-concessional) contributions — cap analysis, bring-forward rules, contribution timing and the tax implications of contributing up to the NCC cap.</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100% — non-concessional contribution advice involves applying taxation laws (contribution caps, excess contribution tax, bring-forward mechanics); the licensee strategy-basis exemplar applies 100% and the Dave &amp; Sally exemplar claims it under s25-5. Reduce where the advice is documented as mainly long-term wealth accumulation with no cap/tax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Advice on the tax implications of contributions to the non-concessional cap is managing tax affairs — s25-5 per the licensee exemplars.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the contribution cap worksheet, bring-forward eligibility analysis, excess-contribution tax notes and the advice document showing the cap/tax analysis.</w:t>
      </w:r>
    </w:p>
    <w:p>
      <w:pPr>
        <w:keepNext/>
        <w:spacing w:before="140" w:after="40"/>
      </w:pPr>
      <w:r>
        <w:rPr>
          <w:b/>
          <w:bCs/>
          <w:color w:val="0C2E3F"/>
          <w:sz w:val="21"/>
          <w:szCs w:val="21"/>
          <w:rFonts w:ascii="Nunito Sans" w:cs="Nunito Sans" w:eastAsia="Nunito Sans" w:hAnsi="Nunito Sans"/>
        </w:rPr>
        <w:t xml:space="preserve">Spouse Contributions / Contribution Splitting</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5–15% (default 10%)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0-30%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Conservative 0–30% house range.</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superannuation contribution caps (Concessional/Non-concessional)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analysing spouse contribution tax offset eligibility, contribution splitting mechanics, concessional cap balancing, spouse balance equalisation and related current-year tax implications.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advice is mainly family wealth equalisation, retirement planning or estate planning. Higher end where spouse offset calculations, cap optimisation, taxable income modelling and contribution splitting tax mechanics are documented. Reduce where wealth transfer or family planning is the dominant purpose.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advice. Deductible component is limited to identifiable tax affairs work concerning spouse offset/cap treatment and contribution splitting tax implications; broader family retirement equalisation remains private.</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spouse income/offset calculation, contribution splitting eligibility notes, cap worksheets, tax outcome comparison and file note explaining the tax-affairs component.</w:t>
      </w:r>
    </w:p>
    <w:p>
      <w:pPr>
        <w:keepNext/>
        <w:spacing w:before="140" w:after="40"/>
      </w:pPr>
      <w:r>
        <w:rPr>
          <w:b/>
          <w:bCs/>
          <w:color w:val="0C2E3F"/>
          <w:sz w:val="21"/>
          <w:szCs w:val="21"/>
          <w:rFonts w:ascii="Nunito Sans" w:cs="Nunito Sans" w:eastAsia="Nunito Sans" w:hAnsi="Nunito Sans"/>
        </w:rPr>
        <w:t xml:space="preserve">Downsizer Contributions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5–15% (default 10%)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0-20%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Conservative 0–20% house range (external review concurs).</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superannuation contribution caps (Concessional/Non-concessional)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considers downsizer contribution eligibility, contribution timing, age/ownership requirements, interaction with transfer balance cap, super contribution caps and retirement funding outcomes.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advice is mainly home sale, retirement lifestyle or asset repositioning. Higher end only where detailed eligibility, contribution cap interaction, transfer balance and tax outcome analysis is separately documented. Do not treat downsizer advice as deductible merely because super tax rules are discussed.</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Mostly private/retirement planning with limited potential tax-affairs component where eligibility and tax consequences are specifically analysed.</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downsizer eligibility checklist, sale/settlement timing notes, contribution cap analysis, transfer balance assessment and file note separating lifestyle/retirement advice from tax analysis.</w:t>
      </w:r>
    </w:p>
    <w:p>
      <w:pPr>
        <w:keepNext/>
        <w:spacing w:before="140" w:after="40"/>
      </w:pPr>
      <w:r>
        <w:rPr>
          <w:b/>
          <w:bCs/>
          <w:color w:val="0C2E3F"/>
          <w:sz w:val="21"/>
          <w:szCs w:val="21"/>
          <w:rFonts w:ascii="Nunito Sans" w:cs="Nunito Sans" w:eastAsia="Nunito Sans" w:hAnsi="Nunito Sans"/>
        </w:rPr>
        <w:t xml:space="preserve">Re-contribution Strategy</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0-30%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Conservative 0–30% house range (external review concurs).</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rules surrounding a re-contribution strategy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analyses withdrawal and recontribution strategy, taxable/tax-free component optimisation, death benefit tax implications, contribution caps and recontribution timing.</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advice is mainly estate planning, succession or wealth transfer. Higher end only where detailed tax component modelling, death benefit tax calculations and contribution cap analysis are documented. Do not use higher end if the dominant purpose is intergenerational wealth transfer.</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but generally private/estate influenced. Deductible component is limited to identifiable tax affairs analysis; estate/succession and capital restructuring components are not deductible.</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tax-free/taxable component modelling, death benefit tax comparison, contribution cap analysis, withdrawal/recontribution schedule and file note identifying estate versus tax-affairs elements.</w:t>
      </w:r>
    </w:p>
    <w:p>
      <w:pPr>
        <w:keepNext/>
        <w:spacing w:before="140" w:after="40"/>
      </w:pPr>
      <w:r>
        <w:rPr>
          <w:b/>
          <w:bCs/>
          <w:color w:val="0C2E3F"/>
          <w:sz w:val="21"/>
          <w:szCs w:val="21"/>
          <w:rFonts w:ascii="Nunito Sans" w:cs="Nunito Sans" w:eastAsia="Nunito Sans" w:hAnsi="Nunito Sans"/>
        </w:rPr>
        <w:t xml:space="preserve">Commencement of an Account Based Pension (ABP)</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10–25% (default 18%)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80% (default 80%)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Dave &amp; Sally (s25-5); example 5.3.5 (80%)</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treatment of superannuation pension income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includes ABP commencement, transfer balance cap analysis, minimum pension requirements, pension drawdown strategy, tax-free/taxable component treatment and pension tax implications.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80% under s25-5 — ABP advice creates tax-free earnings, reduces taxable income (tax free over 60, no tax on withdrawals) and advises on the tax implications of the commencement (Dave &amp; Sally exemplar; example 5.3.5 applies 80% to the ABP portfolio and drawdown review). Reduce where the commencement advice is mainly retirement lifestyle/adequacy planning.</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Commencing an ABP creates tax-free earnings and reduces taxable income; advising on the tax implications of the commencement is managing tax affairs under s25-5 per the exemplars.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TBC calculation, pension commencement documents, minimum pension calculations, tax component breakdown, pension modelling and file note separating tax analysis from retirement lifestyle advice.</w:t>
      </w:r>
    </w:p>
    <w:p>
      <w:pPr>
        <w:keepNext/>
        <w:spacing w:before="140" w:after="40"/>
      </w:pPr>
      <w:r>
        <w:rPr>
          <w:b/>
          <w:bCs/>
          <w:color w:val="0C2E3F"/>
          <w:sz w:val="21"/>
          <w:szCs w:val="21"/>
          <w:rFonts w:ascii="Nunito Sans" w:cs="Nunito Sans" w:eastAsia="Nunito Sans" w:hAnsi="Nunito Sans"/>
        </w:rPr>
        <w:t xml:space="preserve">Commencement of a Transition to Retirement (TTR)</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10–25% (default 18%)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80% (default 80%)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TTR exemplar — 80% set by ANALOGY to the exemplified ABP treatment.</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treatment of superannuation pension income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includes TTR pension commencement, concessional contribution recycling, PAYG reduction analysis, preservation age rules, pension tax treatment and tax optimisation modelling.</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Aligned with the ABP exemplar treatment (80%) — a TTR involves the same pension tax mechanics (pension tax treatment, PAYG reduction, contribution recycling). Reduce where the advice is mainly a work-transition/lifestyle recommendation.</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retirement transition and tax-affairs advice. Deductible element is limited to specific tax optimisation and pension tax treatment analysis.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TTR modelling, contribution recycling calculations, PAYG/taxable income comparison, pension payment calculations, preservation age eligibility and file note describing the tax-driven component.</w:t>
      </w:r>
    </w:p>
    <w:p>
      <w:pPr>
        <w:keepNext/>
        <w:spacing w:before="140" w:after="40"/>
      </w:pPr>
      <w:r>
        <w:rPr>
          <w:b/>
          <w:bCs/>
          <w:color w:val="0C2E3F"/>
          <w:sz w:val="21"/>
          <w:szCs w:val="21"/>
          <w:rFonts w:ascii="Nunito Sans" w:cs="Nunito Sans" w:eastAsia="Nunito Sans" w:hAnsi="Nunito Sans"/>
        </w:rPr>
        <w:t xml:space="preserve">Ongoing Superannuation &amp; Pension Management</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20–60% (default 40%)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0-80% (0 accumulation-only; up to 80 pension drawdown)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5.3.4 (0% accumulation review); example 5.3.5 (80% pension drawdown)</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treatment of superannuation pension income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recurring review of existing super/pension arrangements, pension drawdown management, existing portfolio oversight within pension/super and ongoing tax management.</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Two exemplar poles. A plain super PORTFOLIO review attracts 0% — example 5.3.4: “not managing individual tax affairs, not producing assessable income”. Reviewing an existing account-based PENSION portfolio and drawdown levels attracts 80% under s25-5 — example 5.3.5: advice on the tax implications of the income from the investments and any disposals. Use 0 for accumulation-only reviews and up to 80 where the recurring work is pension drawdown/tax management.</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Deductible only to the extent the recurring work manages pension tax treatment and the tax implications of the income; an accumulation portfolio review alone attracts nothing per example 5.3.4.</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annual review agenda, existing holding review, pension payment calculations, tax component/pension tax notes, investment review report and file note allocating private versus recurring management work.</w:t>
      </w:r>
    </w:p>
    <w:p>
      <w:pPr>
        <w:keepNext/>
        <w:spacing w:before="140" w:after="40"/>
      </w:pPr>
      <w:r>
        <w:rPr>
          <w:b/>
          <w:bCs/>
          <w:color w:val="0C2E3F"/>
          <w:sz w:val="21"/>
          <w:szCs w:val="21"/>
          <w:rFonts w:ascii="Nunito Sans" w:cs="Nunito Sans" w:eastAsia="Nunito Sans" w:hAnsi="Nunito Sans"/>
        </w:rPr>
        <w:t xml:space="preserve">Rollover Existing Super to New Fund/Platform</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10–25% (default 18%)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Exemplar invoice #1 "Product switches — Nil"; example 5.3.4 (0% portfolio review)</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operation of a Commonwealth law relating to taxation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transferring an existing super balance to a new fund or platform, including product comparison, fee analysis and implementation of rollover.</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No exemplar supports deductibility for a like-for-like fund/platform rollover — the character is product replacement and implementation, consistent with example 5.3.4’s 0% for the super portfolio review. A rollover to a NEW SMSF that includes advice on the tax implications is the exemplified 80% case — record it on the SMSF Establishment and Structuring row instead.</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Product replacement and implementation advice is capital/structural. The exemplified deductible rollover (to a new SMSF, including tax implications) is handled by the SMSF Establishment row.</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product comparison, rollover rationale, fee analysis, implementation notes, tax impact assessment if any and file note confirming why any tax-affairs component was isolated.</w:t>
      </w:r>
    </w:p>
    <w:p>
      <w:pPr>
        <w:keepNext/>
        <w:spacing w:before="140" w:after="40"/>
      </w:pPr>
      <w:r>
        <w:rPr>
          <w:b/>
          <w:bCs/>
          <w:color w:val="0C2E3F"/>
          <w:sz w:val="21"/>
          <w:szCs w:val="21"/>
          <w:rFonts w:ascii="Nunito Sans" w:cs="Nunito Sans" w:eastAsia="Nunito Sans" w:hAnsi="Nunito Sans"/>
        </w:rPr>
        <w:t xml:space="preserve">Consolidate Multiple Superannuation Accounts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5–15% (default 10%)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0-10%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Conservative 0–10% house range.</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superannuation contribution caps (Concessional/Non-concessional)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consolidating multiple super accounts, reducing duplicate fees, reviewing insurance duplication and simplifying administration.</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consolidation is administrative or convenience-driven. Higher end only where tax consequences, insurance duplication tax treatment, contribution cap interaction or pension implications are specifically analysed. Do not treat administrative consolidation as deductible.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Mostly administrative/private super management with limited potential tax-affairs component if tax consequences are separately analysed.</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account summary, fee/insurance comparison, consolidation rationale, any tax impact notes and file note distinguishing administration from tax analysis.</w:t>
      </w:r>
    </w:p>
    <w:p>
      <w:pPr>
        <w:keepNext/>
        <w:spacing w:before="140" w:after="40"/>
      </w:pPr>
      <w:r>
        <w:rPr>
          <w:b/>
          <w:bCs/>
          <w:color w:val="0C2E3F"/>
          <w:sz w:val="21"/>
          <w:szCs w:val="21"/>
          <w:rFonts w:ascii="Nunito Sans" w:cs="Nunito Sans" w:eastAsia="Nunito Sans" w:hAnsi="Nunito Sans"/>
        </w:rPr>
        <w:t xml:space="preserve">Review/Optimise Investment Strategy within Super</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5.3.4 (0%)</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operation of a Commonwealth law relating to taxation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reviewing or optimising existing super investment options, asset allocation, risk profile and ongoing investment strategy within super/pension environment.</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Example 5.3.4 applies 0% to reviewing the super portfolio — “not managing individual tax affairs, not producing assessable income” — under both heads. Where the recurring work is PENSION drawdown/tax management, use the Ongoing Superannuation &amp; Pension Management row (up to 80% per example 5.3.5) instead.</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Reviewing/optimising the super investment strategy is neither managing the member’s tax affairs nor producing the member’s assessable income (example 5.3.4). Pension drawdown tax management belongs on the ongoing super &amp; pension row.</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investment option review, existing allocation analysis, income/tax notes, pension phase impact if relevant and file note explaining recurring management versus new strategy elements.</w:t>
      </w:r>
    </w:p>
    <w:p>
      <w:pPr>
        <w:pStyle w:val="Heading2"/>
        <w:spacing w:before="180" w:after="70"/>
      </w:pPr>
      <w:r>
        <w:rPr>
          <w:b/>
          <w:bCs/>
          <w:color w:val="2B6FD6"/>
          <w:sz w:val="23"/>
          <w:szCs w:val="23"/>
          <w:rFonts w:ascii="ABC Arizona Flare" w:cs="ABC Arizona Flare" w:eastAsia="ABC Arizona Flare" w:hAnsi="ABC Arizona Flare"/>
        </w:rPr>
        <w:t xml:space="preserve">Investments</w:t>
      </w:r>
    </w:p>
    <w:p>
      <w:pPr>
        <w:keepNext/>
        <w:spacing w:before="140" w:after="40"/>
      </w:pPr>
      <w:r>
        <w:rPr>
          <w:b/>
          <w:bCs/>
          <w:color w:val="0C2E3F"/>
          <w:sz w:val="21"/>
          <w:szCs w:val="21"/>
          <w:rFonts w:ascii="Nunito Sans" w:cs="Nunito Sans" w:eastAsia="Nunito Sans" w:hAnsi="Nunito Sans"/>
        </w:rPr>
        <w:t xml:space="preserve">Establish a New Investment Portfolio (from scratch)</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20–60% (default 40%)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TD 2024/7 para 28 footnote in example 5.3.5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establishes a new direct investment portfolio, deploys new capital, selects initial investment products or creates a new income-producing investment structure.</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Default 0% because establishment and acquisition advice is capital/preparatory. Only separately identify a tax-affairs component for distinct tax advice such as CGT/tax structure analysis. Do not allocate deductibility merely because the future portfolio may produce assessable income.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Initial investment establishment is capital in nature and not sufficiently connected to current assessable income; separate tax-affairs work may be deductible under s25-5 if identifiable.</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SOA scope, new portfolio recommendations, capital deployment details and any separately costed/documented tax-affairs analysis supporting an override.</w:t>
      </w:r>
    </w:p>
    <w:p>
      <w:pPr>
        <w:keepNext/>
        <w:spacing w:before="140" w:after="40"/>
      </w:pPr>
      <w:r>
        <w:rPr>
          <w:b/>
          <w:bCs/>
          <w:color w:val="0C2E3F"/>
          <w:sz w:val="21"/>
          <w:szCs w:val="21"/>
          <w:rFonts w:ascii="Nunito Sans" w:cs="Nunito Sans" w:eastAsia="Nunito Sans" w:hAnsi="Nunito Sans"/>
        </w:rPr>
        <w:t xml:space="preserve">Ongoing Management of an Existing Investment Portfolio</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20–70% (default 45%)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70-80% (default 70%)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5.3.4 (70%); example 5.3.5 and exemplar invoices (80%, both heads)</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the income from existing investments and any disposals (s8-1 and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solely to recurring review, monitoring and management of existing income-producing investments already owned by the client.</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range is 70-80%: example 5.3.4 applies 70% and example 5.3.5 and the firm exemplar invoices apply 80% to reviewing existing assessable-income-generating investments. The exemplars claim BOTH heads — s8-1 (managing existing income-producing assets) and s25-5 (advice on the tax implications of the income from the investments and any disposals). Reduce below 70 where the review bundles substantial new-capital deployment or lifestyle planning.</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Managing existing income-producing investments (s8-1) together with advice on the tax implications of the income from the investments and any disposals (s25-5) — both heads per the exemplars.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list of existing income-producing assets, review notes, income/dividend/interest evidence, service period, rebalancing rationale and file note excluding private/capital advice components.</w:t>
      </w:r>
    </w:p>
    <w:p>
      <w:pPr>
        <w:keepNext/>
        <w:spacing w:before="140" w:after="40"/>
      </w:pPr>
      <w:r>
        <w:rPr>
          <w:b/>
          <w:bCs/>
          <w:color w:val="0C2E3F"/>
          <w:sz w:val="21"/>
          <w:szCs w:val="21"/>
          <w:rFonts w:ascii="Nunito Sans" w:cs="Nunito Sans" w:eastAsia="Nunito Sans" w:hAnsi="Nunito Sans"/>
        </w:rPr>
        <w:t xml:space="preserve">Investment Portfolio Review &amp; Rebalancing</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10–40% (default 25%)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70-80% (default 70%)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named exemplar row — 70–80% by analogy: treated as the exemplified review of existing income-producing investments.</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the income from existing investments and any disposals (s8-1 and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reviews and rebalances an existing portfolio to maintain asset allocation, risk settings or income-producing investment strategy.</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Treated as the exemplified review of existing assessable-income-generating investments — 70% (example 5.3.4) to 80% (example 5.3.5 and the firm exemplar invoices), under both s8-1 and s25-5. Reduce where rebalancing involves substantial new capital deployment or first-time establishment.</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Deductible to the extent connected to maintenance of existing income-producing investments (s8-1) and advice on the tax implications of the income and any disposals (s25-5); acquisition/restructure components are capital and must be apportioned.</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pre/post portfolio allocation, rebalancing recommendation, existing holding list, income evidence and file note identifying any new investment/restructure component.</w:t>
      </w:r>
    </w:p>
    <w:p>
      <w:pPr>
        <w:keepNext/>
        <w:spacing w:before="140" w:after="40"/>
      </w:pPr>
      <w:r>
        <w:rPr>
          <w:b/>
          <w:bCs/>
          <w:color w:val="0C2E3F"/>
          <w:sz w:val="21"/>
          <w:szCs w:val="21"/>
          <w:rFonts w:ascii="Nunito Sans" w:cs="Nunito Sans" w:eastAsia="Nunito Sans" w:hAnsi="Nunito Sans"/>
        </w:rPr>
        <w:t xml:space="preserve">Gearing Strategy Advice (Deductible Debt)</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20–70% (default 45%)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70-100% (default 70%)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 70–100% is a HOUSE DECISION (debt structuring: investment property/share loans, refinancing). Nearest exemplar figure for any debt-adjacent advice is offset structuring at 20%.</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managing deductible investment borrowings, including interest deductibility and the tax implications of the debt structure (s8-1 and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for debt structuring advice on investment borrowings — investment property loans, share/portfolio loans, refinancing and restructuring of deductible debt, loan splitting, borrowing to acquire or hold income-producing investments, interest deductibility and gearing tax consequences. (Bank account / mortgage offset structuring is a separate strategy.)</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House treatment is 70-100% — the advice manages deductible investment debt (s8-1 nexus to the investment income) and includes interest-deductibility and debt-structure tax analysis (s25-5), consistent with the exemplars citing both heads for existing-investment advice. CAUTION (TD 2024/7 para 28): advice recommending NEW borrowings to make NEW investments is capital and not deductible under s8-1 — record that component on the Establish a New Investment Portfolio row (0%) and keep this row for managing/refinancing EXISTING investment debt. Use the lower end where the work includes private/home-loan elements; 100 only where the engagement is wholly existing-investment-debt structuring with documented purpose tracing.</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Managing deductible investment borrowings (property/share loans, refinancing) has an s8-1 nexus to the assessable income the borrowings produce, and the interest-deductibility/debt-structure analysis is tax-affairs advice (s25-5). Establishment of new borrowings for new investments is capital (TD 2024/7 para 28) and sits outside this row.</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loan purpose notes, debt tracing worksheet, investment acquisition details, interest deductibility analysis, cashflow modelling and file note separating private debt advice.</w:t>
      </w:r>
    </w:p>
    <w:p>
      <w:pPr>
        <w:keepNext/>
        <w:spacing w:before="140" w:after="40"/>
      </w:pPr>
      <w:r>
        <w:rPr>
          <w:b/>
          <w:bCs/>
          <w:color w:val="0C2E3F"/>
          <w:sz w:val="21"/>
          <w:szCs w:val="21"/>
          <w:rFonts w:ascii="Nunito Sans" w:cs="Nunito Sans" w:eastAsia="Nunito Sans" w:hAnsi="Nunito Sans"/>
        </w:rPr>
        <w:t xml:space="preserve">ETF Investment Advice (related to existing portfolio)</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70-80% (default 70%)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named exemplar row — 70–80% by analogy to the exemplified existing-investment review.</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the income from existing investments and any disposals (s8-1 and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reviews ETF holdings within an existing portfolio or recommends ETF adjustments as part of ongoing management of existing income-producing investments.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A species of the exemplified existing-investment review — 70-80% under both s8-1 and s25-5 (examples 5.3.4 / 5.3.5). Reduce where the ETF advice deploys new capital or creates a first-time portfolio.</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Deductible to extent advice maintains existing income-producing ETF holdings; new acquisition or restructure components are capital.</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ETF holding list, income/distribution evidence, review/rebalance rationale, any switch analysis and file note distinguishing existing portfolio review from new investment advice.</w:t>
      </w:r>
    </w:p>
    <w:p>
      <w:pPr>
        <w:keepNext/>
        <w:spacing w:before="140" w:after="40"/>
      </w:pPr>
      <w:r>
        <w:rPr>
          <w:b/>
          <w:bCs/>
          <w:color w:val="0C2E3F"/>
          <w:sz w:val="21"/>
          <w:szCs w:val="21"/>
          <w:rFonts w:ascii="Nunito Sans" w:cs="Nunito Sans" w:eastAsia="Nunito Sans" w:hAnsi="Nunito Sans"/>
        </w:rPr>
        <w:t xml:space="preserve">Managed Fund / LIC Investment Review</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70-80% (default 70%)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named exemplar row — 70–80% by analogy to the exemplified existing-investment review.</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the income from existing investments and any disposals (s8-1 and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reviews existing managed fund or LIC holdings, distributions, suitability and ongoing role in an income-producing portfolio.</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A species of the exemplified existing-investment review — 70-80% under both s8-1 and s25-5 (examples 5.3.4 / 5.3.5). Reduce where the advice replaces products or deploys new capital.</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s8-1 nexus exists to extent advice manages existing income-producing fund/LIC holdings; capital/replacement advice is apportioned out.</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fund/LIC holding details, distribution history, review notes, recommendation rationale and file note separating existing holding review from switching/acquisition.</w:t>
      </w:r>
    </w:p>
    <w:p>
      <w:pPr>
        <w:keepNext/>
        <w:spacing w:before="140" w:after="40"/>
      </w:pPr>
      <w:r>
        <w:rPr>
          <w:b/>
          <w:bCs/>
          <w:color w:val="0C2E3F"/>
          <w:sz w:val="21"/>
          <w:szCs w:val="21"/>
          <w:rFonts w:ascii="Nunito Sans" w:cs="Nunito Sans" w:eastAsia="Nunito Sans" w:hAnsi="Nunito Sans"/>
        </w:rPr>
        <w:t xml:space="preserve">Tax-Loss Harvesting Strategy</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80-100% (default 80%)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80–100% rests on the CGT-management reasoning of s25-5 alone.</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managing Capital Gains Tax (CGT) implications of investments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specifically analyses realised/unrealised capital losses, CGT position, loss offset strategy, tax-year timing and tax-loss harvesting implementation.</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tax-loss discussion is incidental to general investment review. Higher end where CGT calculations, loss offset modelling, timing recommendations and tax consequences are central. Do not use where there is no actual CGT/tax-loss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Primarily tax-affairs advice under s25-5 because the work manages CGT consequences and tax position.</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CGT schedules, realised/unrealised gain/loss analysis, tax-loss modelling, sale timing rationale, accountant coordination and written tax recommendation.</w:t>
      </w:r>
    </w:p>
    <w:p>
      <w:pPr>
        <w:keepNext/>
        <w:spacing w:before="140" w:after="40"/>
      </w:pPr>
      <w:r>
        <w:rPr>
          <w:b/>
          <w:bCs/>
          <w:color w:val="0C2E3F"/>
          <w:sz w:val="21"/>
          <w:szCs w:val="21"/>
          <w:rFonts w:ascii="Nunito Sans" w:cs="Nunito Sans" w:eastAsia="Nunito Sans" w:hAnsi="Nunito Sans"/>
        </w:rPr>
        <w:t xml:space="preserve">Investment Structuring Advice (e.g., Trust, Company)</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80% (default 80%)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Strategy-basis exemplar (80%); exemplar invoice #2 (80%, both heads)</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tax-effective investment structuring (e.g., ownership in trust, company, joint names)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analyses investment ownership structure, trust/company use, income distribution, asset protection, tax rates, CGT and entity tax implications.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80% — “structuring existing investments: consider the most tax-effective investment structure; impacts of income on tax position” (strategy-basis exemplar), and the firm exemplar invoice’s investment-ownership rows (family trusts, CGT and taxable income) cite both s8-1 and s25-5 at 80%. Reduce where the work is mainly asset protection or new-entity establishment.</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Considering the most tax-effective ownership of existing investments — family trusts, CGT and taxable income — citing both s8-1 and s25-5 per the exemplars.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structure comparison, tax outcome modelling, trust/company tax notes, asset protection rationale, implementation scope and file note allocating tax versus capital/structural work.</w:t>
      </w:r>
    </w:p>
    <w:p>
      <w:pPr>
        <w:keepNext/>
        <w:spacing w:before="140" w:after="40"/>
      </w:pPr>
      <w:r>
        <w:rPr>
          <w:b/>
          <w:bCs/>
          <w:color w:val="0C2E3F"/>
          <w:sz w:val="21"/>
          <w:szCs w:val="21"/>
          <w:rFonts w:ascii="Nunito Sans" w:cs="Nunito Sans" w:eastAsia="Nunito Sans" w:hAnsi="Nunito Sans"/>
        </w:rPr>
        <w:t xml:space="preserve">Investment Bond Advice</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80% (default 80%)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Dave &amp; Sally (s25-5); exemplar invoice #2 (80%)</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structuring assets to reduce assessable income via an internally taxed investment bond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recommends or reviews an investment/education bond as a structure to reduce assessable income — internally taxed (tax-paid) bond features, ownership, the 10-year and 125% rules and the tax implications of investing via the bond.</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80% under s25-5 — structuring assets to reduce assessable income by investing in an internally taxed investment bond, including advising on the tax implications (Dave &amp; Sally exemplar; the firm exemplar invoice applies 80% to investment &amp; education bonds). Reduce where the advice is mainly product selection with no tax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Structuring assets to reduce assessable income via an internally taxed investment bond, including the tax implications of investing in the bond — s25-5 per the exemplars.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the bond recommendation, taxable-income comparison (personal marginal rate vs the 30% internally taxed rate), 10-year/125% rule notes and the tax analysis in the advice document.</w:t>
      </w:r>
    </w:p>
    <w:p>
      <w:pPr>
        <w:pStyle w:val="Heading2"/>
        <w:spacing w:before="180" w:after="70"/>
      </w:pPr>
      <w:r>
        <w:rPr>
          <w:b/>
          <w:bCs/>
          <w:color w:val="2B6FD6"/>
          <w:sz w:val="23"/>
          <w:szCs w:val="23"/>
          <w:rFonts w:ascii="ABC Arizona Flare" w:cs="ABC Arizona Flare" w:eastAsia="ABC Arizona Flare" w:hAnsi="ABC Arizona Flare"/>
        </w:rPr>
        <w:t xml:space="preserve">Insurance</w:t>
      </w:r>
    </w:p>
    <w:p>
      <w:pPr>
        <w:keepNext/>
        <w:spacing w:before="140" w:after="40"/>
      </w:pPr>
      <w:r>
        <w:rPr>
          <w:b/>
          <w:bCs/>
          <w:color w:val="0C2E3F"/>
          <w:sz w:val="21"/>
          <w:szCs w:val="21"/>
          <w:rFonts w:ascii="Nunito Sans" w:cs="Nunito Sans" w:eastAsia="Nunito Sans" w:hAnsi="Nunito Sans"/>
        </w:rPr>
        <w:t xml:space="preserve">Income Protection Insurance Application/Review</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100% (default 100%)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5.3.4 (100%, s25-5 &amp; s8-1); strategy-basis exemplar (100%)</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“Tax-deductible premiums for covering assessable income (s8-1 and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specifically relates to income protection cover held personally (policy owned and premiums paid by the client), premium deductibility, benefit design and protection of assessable income. For cover held or funded through superannuation, use the 'held via superannuation' row instead — the personal s8-1 nexus does not apply there.</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100% — tax-deductible premiums for covering assessable income (example 5.3.4 and the strategy-basis exemplar both apply 100% to personally held IP; 5.3.4 marks it deductible under both s25-5 and s8-1). Prefer SEPARATE rows: personally held IP (100%), super-held Life/TPD (20%), outside-super Life/TPD/trauma (0%). Where one combined line is unavoidable, calculate the blended % from the documented allocation of the ADVICE WORK between components (e.g. a genuine 50:50 IP / super-held Life-TPD split gives 60%) — do not default to the exemplar invoice’s 65%, and do not use the premium split as the allocation basis unless the file explains why it is a reasonable proxy.</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Strong s8-1 nexus where advice relates to insurance that protects assessable income, subject to apportionment for bundled cover.</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insurance needs analysis, policy schedule, premium split, income evidence, deductible premium/tax note and file note excluding life/TPD/trauma components.</w:t>
      </w:r>
    </w:p>
    <w:p>
      <w:pPr>
        <w:keepNext/>
        <w:spacing w:before="140" w:after="40"/>
      </w:pPr>
      <w:r>
        <w:rPr>
          <w:b/>
          <w:bCs/>
          <w:color w:val="0C2E3F"/>
          <w:sz w:val="21"/>
          <w:szCs w:val="21"/>
          <w:rFonts w:ascii="Nunito Sans" w:cs="Nunito Sans" w:eastAsia="Nunito Sans" w:hAnsi="Nunito Sans"/>
        </w:rPr>
        <w:t xml:space="preserve">Income Protection Insurance (held via superannuation)</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0-20%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standalone exemplar (the 65% exemplar line is a blend). Conservative 0–20% house range.</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operation of a Commonwealth law relating to taxation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income protection cover held or funded through superannuation — the policy is owned by the trustee and premiums are paid from the member's super balance.</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Default 0%. The premiums are paid and deducted by the super fund, not the member, so the member has no personal s8-1 nexus even though a benefit would be assessable when paid. Only claim a small s25-5 component where distinct tax-affairs analysis (e.g. the tax treatment of premiums and benefits inside super, inside-vs-outside comparison) is separately documented. Personally-held income protection uses the standard row instead.</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Super-held income protection is a superannuation arrangement — the member's advice fee is private/super in character. Any deductible element is limited to identifiable tax-affairs advice under s25-5 provided by a recognised tax adviser.</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policy ownership and premium-funding details, fund premium deduction records, any separately scoped tax analysis and a file note supporting any override above 0%.</w:t>
      </w:r>
    </w:p>
    <w:p>
      <w:pPr>
        <w:keepNext/>
        <w:spacing w:before="140" w:after="40"/>
      </w:pPr>
      <w:r>
        <w:rPr>
          <w:b/>
          <w:bCs/>
          <w:color w:val="0C2E3F"/>
          <w:sz w:val="21"/>
          <w:szCs w:val="21"/>
          <w:rFonts w:ascii="Nunito Sans" w:cs="Nunito Sans" w:eastAsia="Nunito Sans" w:hAnsi="Nunito Sans"/>
        </w:rPr>
        <w:t xml:space="preserve">Personal Life/TPD/Trauma Insurance Advice (outside super)</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Nil claim — consistent with the exemplars’ 20% rationale applying only to super-held benefits</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personal life, TPD or trauma cover held outside super for family protection, debt protection or personal risk management.</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Default 0% because the advice is private protection. Trauma in particular must not inherit the 20% super-held treatment — the exemplar’s 20% rationale is superannuation benefit taxation, which cannot apply to personally held cover. Only allow an override where separately identifiable tax-affairs advice is documented with a written rationale.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Personal protection advice is private/domestic and not sufficiently connected to assessable income production.</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policy recommendation, insurance scope, premium split and file note confirming private protection character.</w:t>
      </w:r>
    </w:p>
    <w:p>
      <w:pPr>
        <w:keepNext/>
        <w:spacing w:before="140" w:after="40"/>
      </w:pPr>
      <w:r>
        <w:rPr>
          <w:b/>
          <w:bCs/>
          <w:color w:val="0C2E3F"/>
          <w:sz w:val="21"/>
          <w:szCs w:val="21"/>
          <w:rFonts w:ascii="Nunito Sans" w:cs="Nunito Sans" w:eastAsia="Nunito Sans" w:hAnsi="Nunito Sans"/>
        </w:rPr>
        <w:t xml:space="preserve">Super-owned Life/TPD Insurance Advice</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20% (default 20%)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5.3.4 and strategy-basis exemplar (20% s25-5)</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super-held insurance benefits (e.g. payment before age 60 or to a non-dependant)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life or TPD cover held within super, including ownership structure, premium funding and benefit payment consequences.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20% under s25-5 — “consideration of tax implications if funds are paid out before age 60 or to a non-dependent beneficiary” (example 5.3.4 and the strategy-basis exemplar both apply 20%). That rationale is superannuation benefit taxation, so it supports super-held Life/TPD only: personally held trauma stays on the 0% outside-super row and must NOT inherit the 20% merely because the exemplar’s combined label mentions trauma. The premiums themselves are never deductible to the member — this percentage is for the ADVICE FEE only. The remaining 80% is private protection advice.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Reviewing super-held life/TPD cover includes advising on the tax implications of benefits paid before age 60 or to non-dependants — a 20% s25-5 component per the exemplars.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the cover review, benefit tax analysis (pre-age-60 / non-dependant), beneficiary notes and the advice document.</w:t>
      </w:r>
    </w:p>
    <w:p>
      <w:pPr>
        <w:keepNext/>
        <w:spacing w:before="140" w:after="40"/>
      </w:pPr>
      <w:r>
        <w:rPr>
          <w:b/>
          <w:bCs/>
          <w:color w:val="0C2E3F"/>
          <w:sz w:val="21"/>
          <w:szCs w:val="21"/>
          <w:rFonts w:ascii="Nunito Sans" w:cs="Nunito Sans" w:eastAsia="Nunito Sans" w:hAnsi="Nunito Sans"/>
        </w:rPr>
        <w:t xml:space="preserve">Advice on Structuring Insurance Inside vs. Outside Super</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0-30%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Conservative 0–30% house range.</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operation of a Commonwealth law relating to taxation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compares insurance ownership inside versus outside super, premium funding, tax consequences, cashflow and benefit payment implications.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advice is mainly personal protection or affordability. Higher end where tax treatment of premiums/benefits, contribution funding and super tax consequences are detailed. Do not include underlying life/TPD/trauma advice as deductible.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insurance structuring advice with limited tax-affairs component; personal protection purpose remains largely private.</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inside/outside super comparison, premium funding analysis, tax treatment notes, benefit payment analysis and allocation between protection advice and tax structuring.</w:t>
      </w:r>
    </w:p>
    <w:p>
      <w:pPr>
        <w:keepNext/>
        <w:spacing w:before="140" w:after="40"/>
      </w:pPr>
      <w:r>
        <w:rPr>
          <w:b/>
          <w:bCs/>
          <w:color w:val="0C2E3F"/>
          <w:sz w:val="21"/>
          <w:szCs w:val="21"/>
          <w:rFonts w:ascii="Nunito Sans" w:cs="Nunito Sans" w:eastAsia="Nunito Sans" w:hAnsi="Nunito Sans"/>
        </w:rPr>
        <w:t xml:space="preserve">Business Expenses Insurance Advice</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5–15% (default 10%)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70-100% (default 70%)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s8-1</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70–100% rests on the standard s8-1 premium-deductibility position.</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“Premiums are tax-deductible as the policy secures assessable replacement income (e.g., Income Protection) (s8-1)”</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business expenses insurance or revenue protection cover intended to maintain business income or deductible operating expenses during incapacity.</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advice also includes personal life/TPD/trauma or capital protection. Higher end where policy purpose is clearly revenue protection and premium deductibility analysis is documented. Do not use high end for capital-purpose key person cover.</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s8-1 nexus may exist where cover protects business revenue or deductible operating expenses; apportion mixed protection/capital components.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business needs analysis, policy purpose statement, premium schedule, revenue/expense nexus evidence, tax treatment note and file note excluding personal/capital cover.</w:t>
      </w:r>
    </w:p>
    <w:p>
      <w:pPr>
        <w:keepNext/>
        <w:spacing w:before="140" w:after="40"/>
      </w:pPr>
      <w:r>
        <w:rPr>
          <w:b/>
          <w:bCs/>
          <w:color w:val="0C2E3F"/>
          <w:sz w:val="21"/>
          <w:szCs w:val="21"/>
          <w:rFonts w:ascii="Nunito Sans" w:cs="Nunito Sans" w:eastAsia="Nunito Sans" w:hAnsi="Nunito Sans"/>
        </w:rPr>
        <w:t xml:space="preserve">Key Person Insurance (Deductibility Analysis)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20-60% (default 20%)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20–60% house range.</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satisfying tax liabilities or claiming tax entitlements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analyses key person insurance purpose and deductibility, including whether the cover is revenue protection or capital protection.</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cover protects capital value, ownership, debt repayment or succession. Higher end where advice specifically analyses revenue-purpose cover, deductible premium treatment and tax consequences. Do not assume key person premiums are deductible without purpose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Deductibility depends on revenue versus capital purpose and tax-affairs analysis of premium/benefit treatment.</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key person purpose analysis, revenue vs capital classification, policy schedule, premium/tax treatment notes, business financial impact assessment and file note supporting allocation.</w:t>
      </w:r>
    </w:p>
    <w:p>
      <w:pPr>
        <w:pStyle w:val="Heading2"/>
        <w:spacing w:before="180" w:after="70"/>
      </w:pPr>
      <w:r>
        <w:rPr>
          <w:b/>
          <w:bCs/>
          <w:color w:val="2B6FD6"/>
          <w:sz w:val="23"/>
          <w:szCs w:val="23"/>
          <w:rFonts w:ascii="ABC Arizona Flare" w:cs="ABC Arizona Flare" w:eastAsia="ABC Arizona Flare" w:hAnsi="ABC Arizona Flare"/>
        </w:rPr>
        <w:t xml:space="preserve">Debt, Cash Flow &amp; Centrelink</w:t>
      </w:r>
    </w:p>
    <w:p>
      <w:pPr>
        <w:keepNext/>
        <w:spacing w:before="140" w:after="40"/>
      </w:pPr>
      <w:r>
        <w:rPr>
          <w:b/>
          <w:bCs/>
          <w:color w:val="0C2E3F"/>
          <w:sz w:val="21"/>
          <w:szCs w:val="21"/>
          <w:rFonts w:ascii="Nunito Sans" w:cs="Nunito Sans" w:eastAsia="Nunito Sans" w:hAnsi="Nunito Sans"/>
        </w:rPr>
        <w:t xml:space="preserve">Paying down a Non-Deductible Debt (e.g., family home)</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5–25% (default 15%)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Nil claim — consistent with the exemplars’ non-deductible rows</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reducing private non-deductible debt such as home loans, personal loans or family home debt.</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Default 0% because the advice is private/domestic debt management. Do not allocate deductibility for household debt reduction, refinancing for personal purposes or lifestyle cashflow improvement.</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Private/domestic expenditure and debt management; no sufficient nexus to assessable income or tax affairs.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debt schedule and file note confirming private purpose. If any separate investment debt/tax advice exists, record it as a separate strategy line.</w:t>
      </w:r>
    </w:p>
    <w:p>
      <w:pPr>
        <w:keepNext/>
        <w:spacing w:before="140" w:after="40"/>
      </w:pPr>
      <w:r>
        <w:rPr>
          <w:b/>
          <w:bCs/>
          <w:color w:val="0C2E3F"/>
          <w:sz w:val="21"/>
          <w:szCs w:val="21"/>
          <w:rFonts w:ascii="Nunito Sans" w:cs="Nunito Sans" w:eastAsia="Nunito Sans" w:hAnsi="Nunito Sans"/>
        </w:rPr>
        <w:t xml:space="preserve">Bank Account &amp; Offset Structuring</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5–15% (default 10%)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20% (default 20%)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Exemplar invoice #1 (20%, weighted 5%) — rate exemplified; wording deliberately corrected to "tax implications" (see review list)</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structuring bank and offset accounts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structures bank accounts and mortgage offset accounts — directing savings and salary through an offset and considering the effect on the household’s overall tax position.</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20% under s25-5 (firm exemplar invoice, weighted 5%). Note the exemplar’s own wording (“reduces assessable income”) overstates the mechanics — an offset against a home loan reduces non-deductible interest, not assessable income — so the invoice wording refers to the tax implications of the structuring instead. The remaining 80% is private cashflow/banking structure. Do not claim more without documented tax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Advising on the tax implications of bank and offset account structuring — a 20% s25-5 component per the firm exemplar (rate retained, wording corrected).</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the account structure diagram, offset interest-saving calculation, any taxable-income impact notes and the advice document.</w:t>
      </w:r>
    </w:p>
    <w:p>
      <w:pPr>
        <w:keepNext/>
        <w:spacing w:before="140" w:after="40"/>
      </w:pPr>
      <w:r>
        <w:rPr>
          <w:b/>
          <w:bCs/>
          <w:color w:val="0C2E3F"/>
          <w:sz w:val="21"/>
          <w:szCs w:val="21"/>
          <w:rFonts w:ascii="Nunito Sans" w:cs="Nunito Sans" w:eastAsia="Nunito Sans" w:hAnsi="Nunito Sans"/>
        </w:rPr>
        <w:t xml:space="preserve">Debt Recycling Strategy</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20–70% (default 45%)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70-100% (default 70%)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 70–100% is a HOUSE DECISION (debt structuring / converting private debt to deductible investment debt).</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managing deductible investment borrowings, including interest deductibility and the tax implications of the debt structure (s8-1 and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for debt structuring advice converting private debt into deductible investment debt — refinancing, loan splitting, redraw/borrowing against equity to invest (property or share portfolios), borrowing purpose tracing and interest deductibility. (Bank account / mortgage offset structuring is a separate strategy.)</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House treatment is 70-100% — the advice structures deductible investment debt (s8-1) with borrowing-purpose tracing and interest-deductibility analysis (s25-5). CAUTION (TD 2024/7 para 28): where the recycling recommends NEW borrowings deployed into NEW investments, that establishment component is capital — record it on the Establish a New Investment Portfolio row and keep this row for the debt-structure and deductibility work. Use the lower end where the work is substantially home-loan management; 100 only where wholly investment-debt structuring with documented tracing.</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Converting private debt into deductible investment debt involves managing income-producing borrowings (s8-1) and the tax analysis of borrowing purpose and interest deductibility (s25-5). New-investment establishment components are capital (TD 2024/7 para 28) and are apportioned out.</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debt recycling diagram, loan purpose/tracing worksheet, investment acquisition details, interest deductibility analysis, cashflow model and file note separating private home loan advice.</w:t>
      </w:r>
    </w:p>
    <w:p>
      <w:pPr>
        <w:keepNext/>
        <w:spacing w:before="140" w:after="40"/>
      </w:pPr>
      <w:r>
        <w:rPr>
          <w:b/>
          <w:bCs/>
          <w:color w:val="0C2E3F"/>
          <w:sz w:val="21"/>
          <w:szCs w:val="21"/>
          <w:rFonts w:ascii="Nunito Sans" w:cs="Nunito Sans" w:eastAsia="Nunito Sans" w:hAnsi="Nunito Sans"/>
        </w:rPr>
        <w:t xml:space="preserve">General Budgeting and Cash Flow Management</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Exemplar invoice #1 and example 5.3.5 (Nil / 0%)</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household budgeting, spending plans, savings targets, cashflow coaching or personal financial management.</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Default 0% because advice is private/domestic. Do not include budgeting within retirement, debt or investment tax allocations unless a separate tax/investment component is clearly identified.</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Private/domestic financial management, not connected to assessable income production or tax affairs.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budgeting worksheet and file note confirming private cashflow character. Separately document any tax/investment advice as another strategy.</w:t>
      </w:r>
    </w:p>
    <w:p>
      <w:pPr>
        <w:keepNext/>
        <w:spacing w:before="140" w:after="40"/>
      </w:pPr>
      <w:r>
        <w:rPr>
          <w:b/>
          <w:bCs/>
          <w:color w:val="0C2E3F"/>
          <w:sz w:val="21"/>
          <w:szCs w:val="21"/>
          <w:rFonts w:ascii="Nunito Sans" w:cs="Nunito Sans" w:eastAsia="Nunito Sans" w:hAnsi="Nunito Sans"/>
        </w:rPr>
        <w:t xml:space="preserve">Maximise Centrelink/DVA Entitlements (Tax Implications)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0-80%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 &amp; s8-1</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5.3.5 (80%, s25-5 &amp; s8-1)</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structuring finances to maximise social security (Centrelink/DVA) and associated tax outcomes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analyses Centrelink/DVA entitlement strategy, assets/income test outcomes, pension income treatment and related tax interactions.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Example 5.3.5 applies 80% under both s25-5 and s8-1 — “structure affairs to maximise Centrelink and DVA entitlement and advise on the tax implications”. Use the higher end where the entitlement strategy includes documented tax-implications advice; 0 where the work is purely social security or aged care planning.</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Structuring affairs to maximise Centrelink/DVA entitlements attracts deductibility where the strategy includes advice on the tax implications — both heads per example 5.3.5.</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Centrelink/DVA entitlement calculations, assets/income test analysis, pension income notes, tax interaction summary and file note separating social security advice from tax-affairs work.</w:t>
      </w:r>
    </w:p>
    <w:p>
      <w:pPr>
        <w:pStyle w:val="Heading2"/>
        <w:spacing w:before="180" w:after="70"/>
      </w:pPr>
      <w:r>
        <w:rPr>
          <w:b/>
          <w:bCs/>
          <w:color w:val="2B6FD6"/>
          <w:sz w:val="23"/>
          <w:szCs w:val="23"/>
          <w:rFonts w:ascii="ABC Arizona Flare" w:cs="ABC Arizona Flare" w:eastAsia="ABC Arizona Flare" w:hAnsi="ABC Arizona Flare"/>
        </w:rPr>
        <w:t xml:space="preserve">SMSF</w:t>
      </w:r>
    </w:p>
    <w:p>
      <w:pPr>
        <w:keepNext/>
        <w:spacing w:before="140" w:after="40"/>
      </w:pPr>
      <w:r>
        <w:rPr>
          <w:b/>
          <w:bCs/>
          <w:color w:val="0C2E3F"/>
          <w:sz w:val="21"/>
          <w:szCs w:val="21"/>
          <w:rFonts w:ascii="Nunito Sans" w:cs="Nunito Sans" w:eastAsia="Nunito Sans" w:hAnsi="Nunito Sans"/>
        </w:rPr>
        <w:t xml:space="preserve">SMSF Establishment and Structuring Advice</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0-80%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Strategy-basis exemplar (80% — rollover to new SMSF incl. tax implications)</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“Setting up an SMSF including providing advice on the tax implications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establishing a new SMSF, trustee structure, deed setup, fund structure, rollover into SMSF or initial governance framework.</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The strategy-basis exemplar applies 80% s25-5 to “rollover super to new SMSF — setting up the SMSF including providing advice on the tax implications”. Use the higher end where establishment advice includes documented tax-implications analysis; keep 0 for pure deed/structure implementation.</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Setting up an SMSF including providing advice on the tax implications is claimed under s25-5 in the exemplar; bare establishment and implementation remain capital.</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SMSF establishment scope, trustee/deed setup documents, implementation notes and separately documented tax analysis if any component is claimed.</w:t>
      </w:r>
    </w:p>
    <w:p>
      <w:pPr>
        <w:keepNext/>
        <w:spacing w:before="140" w:after="40"/>
      </w:pPr>
      <w:r>
        <w:rPr>
          <w:b/>
          <w:bCs/>
          <w:color w:val="0C2E3F"/>
          <w:sz w:val="21"/>
          <w:szCs w:val="21"/>
          <w:rFonts w:ascii="Nunito Sans" w:cs="Nunito Sans" w:eastAsia="Nunito Sans" w:hAnsi="Nunito Sans"/>
        </w:rPr>
        <w:t xml:space="preserve">SMSF Contribution Strategy Advice</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100% (default 100%)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SMSF exemplar — 100% set by ANALOGY to the exemplified CC/NCC contribution treatment.</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making tax-deductible personal superannuation contributions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analyses SMSF member contribution strategy, concessional/non-concessional caps, deductibility, reserves if relevant, Division 293 and contribution tax outcomes.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Aligned with the contribution exemplars — concessional and non-concessional contribution advice is treated as 100% s25-5 (applying taxation laws: caps, deductibility, Division 293). Reduce where the work is mainly member balance or accumulation management.</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super accumulation and tax-affairs advice. Deductible component relates to contribution tax analysis and deductibility mechanics.</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member contribution schedule, cap calculations, Division 293/deductibility notes, tax outcome modelling and file note separating accumulation objectives from tax-affairs analysis.</w:t>
      </w:r>
    </w:p>
    <w:p>
      <w:pPr>
        <w:keepNext/>
        <w:spacing w:before="140" w:after="40"/>
      </w:pPr>
      <w:r>
        <w:rPr>
          <w:b/>
          <w:bCs/>
          <w:color w:val="0C2E3F"/>
          <w:sz w:val="21"/>
          <w:szCs w:val="21"/>
          <w:rFonts w:ascii="Nunito Sans" w:cs="Nunito Sans" w:eastAsia="Nunito Sans" w:hAnsi="Nunito Sans"/>
        </w:rPr>
        <w:t xml:space="preserve">SMSF Pension Strategy Advice (inc. Segregation)</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80% (default 80%)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Example 5.3.5 (80%)</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treatment of superannuation pension income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analyses SMSF pension strategy, ECPI, segregation, actuarial certificate requirements, transfer balance cap and pension tax treatment.</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Example 5.3.5 applies 80% s25-5 to reviewing an existing SMSF account-based pension portfolio and drawdown levels — advice on the tax implications of the income from the investments and any disposals. Use 80 as the standard; reduce where the work is mainly retirement income adequacy planning.</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pension/retirement and tax-affairs advice. Tax-affairs component may be significant where ECPI/segregation and pension tax treatment are analysed.</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ECPI/segregation analysis, actuarial certificate notes, TBC calculations, pension documents, tax modelling and file note allocating retirement versus tax work.</w:t>
      </w:r>
    </w:p>
    <w:p>
      <w:pPr>
        <w:keepNext/>
        <w:spacing w:before="140" w:after="40"/>
      </w:pPr>
      <w:r>
        <w:rPr>
          <w:b/>
          <w:bCs/>
          <w:color w:val="0C2E3F"/>
          <w:sz w:val="21"/>
          <w:szCs w:val="21"/>
          <w:rFonts w:ascii="Nunito Sans" w:cs="Nunito Sans" w:eastAsia="Nunito Sans" w:hAnsi="Nunito Sans"/>
        </w:rPr>
        <w:t xml:space="preserve">SMSF Investment Strategy (Compliance &amp; Review)</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10–40% (default 25%)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0-70%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0–70% (floor aligned to example 5.3.4’s 0% pole; the 70% top is unexemplified).</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operation of a Commonwealth law relating to taxation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reviews the SMSF investment strategy, compliance with trustee obligations, asset allocation, liquidity, diversification and existing fund investments.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No direct exemplar. Floor is 0 in line with example 5.3.4 (a portfolio/compliance review on its own attracts nothing); use the higher end only where the recurring work is pension-phase tax management (ECPI, drawdown — cf. example 5.3.5’s 80% for the SMSF pension review) with documented tax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compliance, retirement and investment management advice. Deductible component depends on recurring management/tax nexus rather than trustee compliance alone.</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SMSF investment strategy review, existing asset schedule, income/liquidity analysis, trustee minutes, compliance notes and file allocation between compliance and investment/tax work.</w:t>
      </w:r>
    </w:p>
    <w:p>
      <w:pPr>
        <w:keepNext/>
        <w:spacing w:before="140" w:after="40"/>
      </w:pPr>
      <w:r>
        <w:rPr>
          <w:b/>
          <w:bCs/>
          <w:color w:val="0C2E3F"/>
          <w:sz w:val="21"/>
          <w:szCs w:val="21"/>
          <w:rFonts w:ascii="Nunito Sans" w:cs="Nunito Sans" w:eastAsia="Nunito Sans" w:hAnsi="Nunito Sans"/>
        </w:rPr>
        <w:t xml:space="preserve">SMSF Borrowing / Limited Recourse Borrowing Arrangement (LRBA)</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0–20% house range.</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SMSF borrowing, LRBA structure, asset acquisition, loan arrangement, bare trust structure and related tax consequences.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Generally lower end because LRBA advice is structural/capital and acquisition-related. Higher component only where interest deductibility, borrowing tax treatment and SMSF tax consequences are separately analysed. Do not include property acquisition or borrowing setup as deductible.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Mostly capital/structural advice with limited tax-affairs component. Acquisition and borrowing setup are not recurrent income management.</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LRBA structure notes, loan/bare trust documents, asset acquisition details, tax treatment analysis and file note separating structural setup from tax advice.</w:t>
      </w:r>
    </w:p>
    <w:p>
      <w:pPr>
        <w:keepNext/>
        <w:spacing w:before="140" w:after="40"/>
      </w:pPr>
      <w:r>
        <w:rPr>
          <w:b/>
          <w:bCs/>
          <w:color w:val="0C2E3F"/>
          <w:sz w:val="21"/>
          <w:szCs w:val="21"/>
          <w:rFonts w:ascii="Nunito Sans" w:cs="Nunito Sans" w:eastAsia="Nunito Sans" w:hAnsi="Nunito Sans"/>
        </w:rPr>
        <w:t xml:space="preserve">Advice on Winding Up an SMSF</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0-20%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0–20% house range.</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the tax implications of winding up an SMSF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closing an SMSF, rolling benefits out, disposing/transferring assets, final tax/compliance obligations and member benefit treatment.</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wind-up is administrative, structural or estate/retirement driven. Higher end where final tax return, CGT, ECPI, benefit payment tax and compliance tax consequences are specifically analysed. Do not treat administrative closure as deductible.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structural/admin and tax-affairs advice. Deductible component limited to identifiable tax affairs management during wind-up.</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wind-up checklist, asset disposal/transfer analysis, final tax/CGT notes, member benefit calculations, rollover documents and file note allocating admin versus tax work.</w:t>
      </w:r>
    </w:p>
    <w:p>
      <w:pPr>
        <w:pStyle w:val="Heading2"/>
        <w:spacing w:before="180" w:after="70"/>
      </w:pPr>
      <w:r>
        <w:rPr>
          <w:b/>
          <w:bCs/>
          <w:color w:val="2B6FD6"/>
          <w:sz w:val="23"/>
          <w:szCs w:val="23"/>
          <w:rFonts w:ascii="ABC Arizona Flare" w:cs="ABC Arizona Flare" w:eastAsia="ABC Arizona Flare" w:hAnsi="ABC Arizona Flare"/>
        </w:rPr>
        <w:t xml:space="preserve">Estate &amp; Business</w:t>
      </w:r>
    </w:p>
    <w:p>
      <w:pPr>
        <w:keepNext/>
        <w:spacing w:before="140" w:after="40"/>
      </w:pPr>
      <w:r>
        <w:rPr>
          <w:b/>
          <w:bCs/>
          <w:color w:val="0C2E3F"/>
          <w:sz w:val="21"/>
          <w:szCs w:val="21"/>
          <w:rFonts w:ascii="Nunito Sans" w:cs="Nunito Sans" w:eastAsia="Nunito Sans" w:hAnsi="Nunito Sans"/>
        </w:rPr>
        <w:t xml:space="preserve">Estate Planning Advice (e.g., Testamentary Trusts)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Exemplar invoice #2 and example 5.3.5 (Nil / 0%)</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wills, testamentary trusts, estate objectives, beneficiary planning, asset protection or intergenerational wealth transfer.</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Default 0% because estate planning is private/capital. Do not allocate deductibility merely because tax consequences or testamentary trust tax rates are discussed. Separate any distinct tax-affairs advice if genuinely scoped.</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Estate succession and private wealth transfer advice is capital/private and not sufficiently connected to current tax affairs or assessable income production.</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estate planning scope, testamentary trust discussion notes and file note confirming private/capital character. Separately document any standalone tax advice if claimed.</w:t>
      </w:r>
    </w:p>
    <w:p>
      <w:pPr>
        <w:keepNext/>
        <w:spacing w:before="140" w:after="40"/>
      </w:pPr>
      <w:r>
        <w:rPr>
          <w:b/>
          <w:bCs/>
          <w:color w:val="0C2E3F"/>
          <w:sz w:val="21"/>
          <w:szCs w:val="21"/>
          <w:rFonts w:ascii="Nunito Sans" w:cs="Nunito Sans" w:eastAsia="Nunito Sans" w:hAnsi="Nunito Sans"/>
        </w:rPr>
        <w:t xml:space="preserve">Advice on Death Benefit Nominations (Super)</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5–15% (default 10%)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Non-Deductible</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Nil claim — estate-planning family (exemplar Nil rows)</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relates to binding/non-binding death benefit nominations, beneficiary selection, super death benefit distribution and estate planning outcomes.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Default 0% because advice is succession/estate planning. Do not treat death benefit tax implications as sufficient for deductibility unless there is separately identifiable tax-affairs analysis.</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Primarily estate/private planning with capital/succession character; tax consequences are incidental unless separately scoped.</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nomination advice, beneficiary analysis, death benefit tax notes if any and file note confirming estate/private nature of the strategy.</w:t>
      </w:r>
    </w:p>
    <w:p>
      <w:pPr>
        <w:keepNext/>
        <w:spacing w:before="140" w:after="40"/>
      </w:pPr>
      <w:r>
        <w:rPr>
          <w:b/>
          <w:bCs/>
          <w:color w:val="0C2E3F"/>
          <w:sz w:val="21"/>
          <w:szCs w:val="21"/>
          <w:rFonts w:ascii="Nunito Sans" w:cs="Nunito Sans" w:eastAsia="Nunito Sans" w:hAnsi="Nunito Sans"/>
        </w:rPr>
        <w:t xml:space="preserve">Business Succession Planning (Tax Implications)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10–30% (default 20%)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0-40% (default 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0–40% house range.</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small business CGT concessions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analyses business succession, ownership transition, shareholder/family transfer, continuity planning and related tax implications.</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advice is mainly succession, asset protection, family transfer or capital restructuring. Higher end only where explicit tax-affairs analysis, CGT/rollover consequences and entity tax outcomes are central. Do not include general succession planning as deductible.</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Mixed capital/succession and tax-affairs advice. Deductible component depends on clearly identifiable tax analysis; ownership transfer and succession planning are capital/private.</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succession plan, entity/ownership structure, CGT/rollover analysis, tax modelling, shareholder agreement notes and file allocation between succession and tax-affairs work.</w:t>
      </w:r>
    </w:p>
    <w:p>
      <w:pPr>
        <w:keepNext/>
        <w:spacing w:before="140" w:after="40"/>
      </w:pPr>
      <w:r>
        <w:rPr>
          <w:b/>
          <w:bCs/>
          <w:color w:val="0C2E3F"/>
          <w:sz w:val="21"/>
          <w:szCs w:val="21"/>
          <w:rFonts w:ascii="Nunito Sans" w:cs="Nunito Sans" w:eastAsia="Nunito Sans" w:hAnsi="Nunito Sans"/>
        </w:rPr>
        <w:t xml:space="preserve">Small Business CGT Concessions Advice</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5–20% (default 13%)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70-100% (default 70%)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B45309"/>
          <w:sz w:val="19"/>
          <w:szCs w:val="19"/>
          <w:rFonts w:ascii="Nunito Sans" w:cs="Nunito Sans" w:eastAsia="Nunito Sans" w:hAnsi="Nunito Sans"/>
        </w:rPr>
        <w:t xml:space="preserve">⚠ REQUIRES MANUAL REVIEW — not exemplar-backed: </w:t>
      </w:r>
      <w:r>
        <w:rPr>
          <w:b w:val="false"/>
          <w:bCs w:val="false"/>
          <w:i w:val="false"/>
          <w:iCs w:val="false"/>
          <w:color w:val="B45309"/>
          <w:sz w:val="19"/>
          <w:szCs w:val="19"/>
          <w:rFonts w:ascii="Nunito Sans" w:cs="Nunito Sans" w:eastAsia="Nunito Sans" w:hAnsi="Nunito Sans"/>
        </w:rPr>
        <w:t xml:space="preserve">No exemplar. 70–100% rests on Division 152 being pure tax-affairs work.</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“Advice on small business CGT concessions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advice specifically analyses Division 152 small business CGT concession eligibility, active asset tests, connected entity/affiliate rules, retirement exemption, 15-year exemption or concession sequencing.</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Lower end where CGT concession discussion is incidental to broader succession advice. Higher end where detailed eligibility testing, CGT calculations, concession selection and tax outcome modelling are central. Do not use if no specific CGT concession analysis was performed.</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Primarily tax-affairs advice under s25-5 because the work manages CGT consequences and tax concession eligibility.</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Division 152 eligibility checklist, CGT calculation, active asset analysis, entity/affiliate analysis, concession selection modelling, accountant notes and written tax recommendation.</w:t>
      </w:r>
    </w:p>
    <w:p>
      <w:pPr>
        <w:pStyle w:val="Heading2"/>
        <w:spacing w:before="180" w:after="70"/>
      </w:pPr>
      <w:r>
        <w:rPr>
          <w:b/>
          <w:bCs/>
          <w:color w:val="2B6FD6"/>
          <w:sz w:val="23"/>
          <w:szCs w:val="23"/>
          <w:rFonts w:ascii="ABC Arizona Flare" w:cs="ABC Arizona Flare" w:eastAsia="ABC Arizona Flare" w:hAnsi="ABC Arizona Flare"/>
        </w:rPr>
        <w:t xml:space="preserve">General</w:t>
      </w:r>
    </w:p>
    <w:p>
      <w:pPr>
        <w:keepNext/>
        <w:spacing w:before="140" w:after="40"/>
      </w:pPr>
      <w:r>
        <w:rPr>
          <w:b/>
          <w:bCs/>
          <w:color w:val="0C2E3F"/>
          <w:sz w:val="21"/>
          <w:szCs w:val="21"/>
          <w:rFonts w:ascii="Nunito Sans" w:cs="Nunito Sans" w:eastAsia="Nunito Sans" w:hAnsi="Nunito Sans"/>
        </w:rPr>
        <w:t xml:space="preserve">Financial Modelling &amp; Tax Projections</w:t>
      </w:r>
    </w:p>
    <w:p>
      <w:pPr>
        <w:spacing w:before="30" w:after="70" w:line="266"/>
      </w:pPr>
      <w:r>
        <w:rPr>
          <w:b/>
          <w:bCs/>
          <w:i w:val="false"/>
          <w:iCs w:val="false"/>
          <w:color w:val="1a1a1a"/>
          <w:sz w:val="19"/>
          <w:szCs w:val="19"/>
          <w:rFonts w:ascii="Nunito Sans" w:cs="Nunito Sans" w:eastAsia="Nunito Sans" w:hAnsi="Nunito Sans"/>
        </w:rPr>
        <w:t xml:space="preserve">Weighting guide: </w:t>
      </w:r>
      <w:r>
        <w:rPr>
          <w:b w:val="false"/>
          <w:bCs w:val="false"/>
          <w:i w:val="false"/>
          <w:iCs w:val="false"/>
          <w:color w:val="1a1a1a"/>
          <w:sz w:val="19"/>
          <w:szCs w:val="19"/>
          <w:rFonts w:ascii="Nunito Sans" w:cs="Nunito Sans" w:eastAsia="Nunito Sans" w:hAnsi="Nunito Sans"/>
        </w:rPr>
        <w:t xml:space="preserve">5–15% (default 10%)   ·   </w:t>
      </w:r>
      <w:r>
        <w:rPr>
          <w:b/>
          <w:bCs/>
          <w:i w:val="false"/>
          <w:iCs w:val="false"/>
          <w:color w:val="1a1a1a"/>
          <w:sz w:val="19"/>
          <w:szCs w:val="19"/>
          <w:rFonts w:ascii="Nunito Sans" w:cs="Nunito Sans" w:eastAsia="Nunito Sans" w:hAnsi="Nunito Sans"/>
        </w:rPr>
        <w:t xml:space="preserve">Deductible guide: </w:t>
      </w:r>
      <w:r>
        <w:rPr>
          <w:b w:val="false"/>
          <w:bCs w:val="false"/>
          <w:i w:val="false"/>
          <w:iCs w:val="false"/>
          <w:color w:val="1a1a1a"/>
          <w:sz w:val="19"/>
          <w:szCs w:val="19"/>
          <w:rFonts w:ascii="Nunito Sans" w:cs="Nunito Sans" w:eastAsia="Nunito Sans" w:hAnsi="Nunito Sans"/>
        </w:rPr>
        <w:t xml:space="preserve">100% (default 100%)   ·   </w:t>
      </w:r>
      <w:r>
        <w:rPr>
          <w:b/>
          <w:bCs/>
          <w:i w:val="false"/>
          <w:iCs w:val="false"/>
          <w:color w:val="1a1a1a"/>
          <w:sz w:val="19"/>
          <w:szCs w:val="19"/>
          <w:rFonts w:ascii="Nunito Sans" w:cs="Nunito Sans" w:eastAsia="Nunito Sans" w:hAnsi="Nunito Sans"/>
        </w:rPr>
        <w:t xml:space="preserve">Section: </w:t>
      </w:r>
      <w:r>
        <w:rPr>
          <w:b w:val="false"/>
          <w:bCs w:val="false"/>
          <w:i w:val="false"/>
          <w:iCs w:val="false"/>
          <w:color w:val="1a1a1a"/>
          <w:sz w:val="19"/>
          <w:szCs w:val="19"/>
          <w:rFonts w:ascii="Nunito Sans" w:cs="Nunito Sans" w:eastAsia="Nunito Sans" w:hAnsi="Nunito Sans"/>
        </w:rPr>
        <w:t xml:space="preserve">s25-5</w:t>
      </w:r>
    </w:p>
    <w:p>
      <w:pPr>
        <w:spacing w:before="30" w:after="70" w:line="266"/>
      </w:pPr>
      <w:r>
        <w:rPr>
          <w:b/>
          <w:bCs/>
          <w:i w:val="false"/>
          <w:iCs w:val="false"/>
          <w:color w:val="1E7B4D"/>
          <w:sz w:val="19"/>
          <w:szCs w:val="19"/>
          <w:rFonts w:ascii="Nunito Sans" w:cs="Nunito Sans" w:eastAsia="Nunito Sans" w:hAnsi="Nunito Sans"/>
        </w:rPr>
        <w:t xml:space="preserve">Exemplar support: </w:t>
      </w:r>
      <w:r>
        <w:rPr>
          <w:b w:val="false"/>
          <w:bCs w:val="false"/>
          <w:i w:val="false"/>
          <w:iCs w:val="false"/>
          <w:color w:val="1E7B4D"/>
          <w:sz w:val="19"/>
          <w:szCs w:val="19"/>
          <w:rFonts w:ascii="Nunito Sans" w:cs="Nunito Sans" w:eastAsia="Nunito Sans" w:hAnsi="Nunito Sans"/>
        </w:rPr>
        <w:t xml:space="preserve">Exemplar invoice #1 (100%, weighted 10%)</w:t>
      </w:r>
    </w:p>
    <w:p>
      <w:pPr>
        <w:spacing w:before="30" w:after="70" w:line="266"/>
      </w:pPr>
      <w:r>
        <w:rPr>
          <w:b/>
          <w:bCs/>
          <w:i w:val="false"/>
          <w:iCs w:val="false"/>
          <w:color w:val="1a1a1a"/>
          <w:sz w:val="19"/>
          <w:szCs w:val="19"/>
          <w:rFonts w:ascii="Nunito Sans" w:cs="Nunito Sans" w:eastAsia="Nunito Sans" w:hAnsi="Nunito Sans"/>
        </w:rPr>
        <w:t xml:space="preserve">Default invoice wording: </w:t>
      </w:r>
      <w:r>
        <w:rPr>
          <w:b w:val="false"/>
          <w:bCs w:val="false"/>
          <w:i/>
          <w:iCs/>
          <w:color w:val="1a1a1a"/>
          <w:sz w:val="19"/>
          <w:szCs w:val="19"/>
          <w:rFonts w:ascii="Nunito Sans" w:cs="Nunito Sans" w:eastAsia="Nunito Sans" w:hAnsi="Nunito Sans"/>
        </w:rPr>
        <w:t xml:space="preserve">“Financial modelling to calculate current or future tax payable based on different strategies (s25-5)”</w:t>
      </w:r>
    </w:p>
    <w:p>
      <w:pPr>
        <w:spacing w:before="30" w:after="70" w:line="266"/>
      </w:pPr>
      <w:r>
        <w:rPr>
          <w:b/>
          <w:bCs/>
          <w:i w:val="false"/>
          <w:iCs w:val="false"/>
          <w:color w:val="1a1a1a"/>
          <w:sz w:val="19"/>
          <w:szCs w:val="19"/>
          <w:rFonts w:ascii="Nunito Sans" w:cs="Nunito Sans" w:eastAsia="Nunito Sans" w:hAnsi="Nunito Sans"/>
        </w:rPr>
        <w:t xml:space="preserve">Use when: </w:t>
      </w:r>
      <w:r>
        <w:rPr>
          <w:b w:val="false"/>
          <w:bCs w:val="false"/>
          <w:i w:val="false"/>
          <w:iCs w:val="false"/>
          <w:color w:val="1a1a1a"/>
          <w:sz w:val="19"/>
          <w:szCs w:val="19"/>
          <w:rFonts w:ascii="Nunito Sans" w:cs="Nunito Sans" w:eastAsia="Nunito Sans" w:hAnsi="Nunito Sans"/>
        </w:rPr>
        <w:t xml:space="preserve">Use when the engagement includes financial modelling that considers and calculates the tax payable now and over time for the strategies recommended — tax projections, marginal-rate comparisons and net-of-tax outcome modelling.</w:t>
      </w:r>
    </w:p>
    <w:p>
      <w:pPr>
        <w:spacing w:before="30" w:after="70" w:line="266"/>
      </w:pPr>
      <w:r>
        <w:rPr>
          <w:b/>
          <w:bCs/>
          <w:i w:val="false"/>
          <w:iCs w:val="false"/>
          <w:color w:val="1a1a1a"/>
          <w:sz w:val="19"/>
          <w:szCs w:val="19"/>
          <w:rFonts w:ascii="Nunito Sans" w:cs="Nunito Sans" w:eastAsia="Nunito Sans" w:hAnsi="Nunito Sans"/>
        </w:rPr>
        <w:t xml:space="preserve">Apportionment guidance: </w:t>
      </w:r>
      <w:r>
        <w:rPr>
          <w:b w:val="false"/>
          <w:bCs w:val="false"/>
          <w:i w:val="false"/>
          <w:iCs w:val="false"/>
          <w:color w:val="1a1a1a"/>
          <w:sz w:val="19"/>
          <w:szCs w:val="19"/>
          <w:rFonts w:ascii="Nunito Sans" w:cs="Nunito Sans" w:eastAsia="Nunito Sans" w:hAnsi="Nunito Sans"/>
        </w:rPr>
        <w:t xml:space="preserve">Exemplar treatment is 100% under s25-5 — “financial modelling that considered and calculated the tax payable now and over time for all strategies” (firm exemplar invoice, weighted 10%). Only use this line where genuine tax modelling was produced; cashflow projections without tax calculations belong under budgeting (0%).</w:t>
      </w:r>
    </w:p>
    <w:p>
      <w:pPr>
        <w:spacing w:before="30" w:after="70" w:line="266"/>
      </w:pPr>
      <w:r>
        <w:rPr>
          <w:b/>
          <w:bCs/>
          <w:i w:val="false"/>
          <w:iCs w:val="false"/>
          <w:color w:val="1a1a1a"/>
          <w:sz w:val="19"/>
          <w:szCs w:val="19"/>
          <w:rFonts w:ascii="Nunito Sans" w:cs="Nunito Sans" w:eastAsia="Nunito Sans" w:hAnsi="Nunito Sans"/>
        </w:rPr>
        <w:t xml:space="preserve">Basis note: </w:t>
      </w:r>
      <w:r>
        <w:rPr>
          <w:b w:val="false"/>
          <w:bCs w:val="false"/>
          <w:i w:val="false"/>
          <w:iCs w:val="false"/>
          <w:color w:val="1a1a1a"/>
          <w:sz w:val="19"/>
          <w:szCs w:val="19"/>
          <w:rFonts w:ascii="Nunito Sans" w:cs="Nunito Sans" w:eastAsia="Nunito Sans" w:hAnsi="Nunito Sans"/>
        </w:rPr>
        <w:t xml:space="preserve">Financial modelling calculating current and future tax payable for the strategies advised is managing tax affairs — fully deductible under s25-5 per the firm exemplar.</w:t>
      </w:r>
    </w:p>
    <w:p>
      <w:pPr>
        <w:spacing w:before="30" w:after="110" w:line="266"/>
      </w:pPr>
      <w:r>
        <w:rPr>
          <w:b/>
          <w:bCs/>
          <w:i w:val="false"/>
          <w:iCs w:val="false"/>
          <w:color w:val="1a1a1a"/>
          <w:sz w:val="19"/>
          <w:szCs w:val="19"/>
          <w:rFonts w:ascii="Nunito Sans" w:cs="Nunito Sans" w:eastAsia="Nunito Sans" w:hAnsi="Nunito Sans"/>
        </w:rPr>
        <w:t xml:space="preserve">Evidence / file note: </w:t>
      </w:r>
      <w:r>
        <w:rPr>
          <w:b w:val="false"/>
          <w:bCs w:val="false"/>
          <w:i w:val="false"/>
          <w:iCs w:val="false"/>
          <w:color w:val="1a1a1a"/>
          <w:sz w:val="19"/>
          <w:szCs w:val="19"/>
          <w:rFonts w:ascii="Nunito Sans" w:cs="Nunito Sans" w:eastAsia="Nunito Sans" w:hAnsi="Nunito Sans"/>
        </w:rPr>
        <w:t xml:space="preserve">Retain the modelling output showing the tax payable calculations, assumptions, the strategies modelled and the advice document referencing the projections.</w:t>
      </w:r>
    </w:p>
    <w:p>
      <w:pPr>
        <w:spacing w:before="160" w:after="70" w:line="266"/>
      </w:pPr>
      <w:r>
        <w:rPr>
          <w:b w:val="false"/>
          <w:bCs w:val="false"/>
          <w:i/>
          <w:iCs/>
          <w:color w:val="5a6b76"/>
          <w:sz w:val="18"/>
          <w:szCs w:val="18"/>
          <w:rFonts w:ascii="Nunito Sans" w:cs="Nunito Sans" w:eastAsia="Nunito Sans" w:hAnsi="Nunito Sans"/>
        </w:rPr>
        <w:t xml:space="preserve">Internal specification for MWS. Percentages are house defaults aligned to the licensee exemplars — the adviser reviews and approves every invoice; not client tax advice.</w:t>
      </w:r>
    </w:p>
    <w:sectPr>
      <w:pgSz w:w="11906" w:h="16838" w:orient="portrait"/>
      <w:pgMar w:top="10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Nunito Sans" w:cs="Nunito Sans" w:eastAsia="Nunito Sans" w:hAnsi="Nunito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2026-07-28T03:21:11.193Z</dcterms:created>
  <dcterms:modified xsi:type="dcterms:W3CDTF">2026-07-28T03:21:11.208Z</dcterms:modified>
</cp:coreProperties>
</file>

<file path=docProps/custom.xml><?xml version="1.0" encoding="utf-8"?>
<Properties xmlns="http://schemas.openxmlformats.org/officeDocument/2006/custom-properties" xmlns:vt="http://schemas.openxmlformats.org/officeDocument/2006/docPropsVTypes"/>
</file>