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consolidating your existing [personal loan / credit card] of {amt} into your home loan.</w:t>
            </w:r>
          </w:p>
        </w:tc>
      </w:tr>
      <w:tr>
        <w:tc>
          <w:tcPr>
            <w:tcW w:type="dxa" w:w="5256"/>
            <w:shd w:val="clear" w:fill="E5F4F6"/>
          </w:tcPr>
          <w:p>
            <w:r>
              <w:rPr>
                <w:b/>
                <w:color w:val="0C2E3F"/>
                <w:sz w:val="17"/>
              </w:rPr>
              <w:t>Summary – Outcomes line</w:t>
            </w:r>
          </w:p>
        </w:tc>
        <w:tc>
          <w:tcPr>
            <w:tcW w:type="dxa" w:w="5256"/>
          </w:tcPr>
          <w:p>
            <w:r>
              <w:rPr>
                <w:color w:val="B8860B"/>
                <w:sz w:val="19"/>
              </w:rPr>
              <w:t>Consolidating higher‑interest personal debt into your home loan will reduce your overall borrowing costs and simplify the management of your debts.</w:t>
            </w:r>
          </w:p>
        </w:tc>
      </w:tr>
      <w:tr>
        <w:tc>
          <w:tcPr>
            <w:tcW w:type="dxa" w:w="5256"/>
            <w:shd w:val="clear" w:fill="E5F4F6"/>
          </w:tcPr>
          <w:p>
            <w:r>
              <w:rPr>
                <w:b/>
                <w:color w:val="0C2E3F"/>
                <w:sz w:val="17"/>
              </w:rPr>
              <w:t>Why / In line with your goals (bullets)</w:t>
            </w:r>
          </w:p>
        </w:tc>
        <w:tc>
          <w:tcPr>
            <w:tcW w:type="dxa" w:w="5256"/>
          </w:tcPr>
          <w:p>
            <w:r>
              <w:rPr>
                <w:color w:val="B8860B"/>
                <w:sz w:val="19"/>
              </w:rPr>
              <w:t>• Replaces higher‑interest consumer debt with lower‑interest home loan debt and simplifies repayments.</w:t>
            </w:r>
          </w:p>
        </w:tc>
      </w:tr>
      <w:tr>
        <w:tc>
          <w:tcPr>
            <w:tcW w:type="dxa" w:w="5256"/>
            <w:shd w:val="clear" w:fill="E5F4F6"/>
          </w:tcPr>
          <w:p>
            <w:r>
              <w:rPr>
                <w:b/>
                <w:color w:val="0C2E3F"/>
                <w:sz w:val="17"/>
              </w:rPr>
              <w:t>Risks &amp; Disadvantages (bullets)</w:t>
            </w:r>
          </w:p>
        </w:tc>
        <w:tc>
          <w:tcPr>
            <w:tcW w:type="dxa" w:w="5256"/>
          </w:tcPr>
          <w:p>
            <w:r>
              <w:rPr>
                <w:color w:val="B8860B"/>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color w:val="B8860B"/>
                <w:sz w:val="19"/>
              </w:rPr>
              <w:t>• We considered retaining the existing facility. This was not recommended as consolidation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use your inheritance of {amt} to reduce your home loan.</w:t>
            </w:r>
          </w:p>
        </w:tc>
      </w:tr>
      <w:tr>
        <w:tc>
          <w:tcPr>
            <w:tcW w:type="dxa" w:w="5256"/>
            <w:shd w:val="clear" w:fill="E5F4F6"/>
          </w:tcPr>
          <w:p>
            <w:r>
              <w:rPr>
                <w:b/>
                <w:color w:val="0C2E3F"/>
                <w:sz w:val="17"/>
              </w:rPr>
              <w:t>Summary – Outcomes line</w:t>
            </w:r>
          </w:p>
        </w:tc>
        <w:tc>
          <w:tcPr>
            <w:tcW w:type="dxa" w:w="5256"/>
          </w:tcPr>
          <w:p>
            <w:r>
              <w:rPr>
                <w:color w:val="B8860B"/>
                <w:sz w:val="19"/>
              </w:rPr>
              <w:t>Applying your inheritance to your home loan reduces non‑deductible debt, lowers your interest cost and releases equity for future investment.</w:t>
            </w:r>
          </w:p>
        </w:tc>
      </w:tr>
      <w:tr>
        <w:tc>
          <w:tcPr>
            <w:tcW w:type="dxa" w:w="5256"/>
            <w:shd w:val="clear" w:fill="E5F4F6"/>
          </w:tcPr>
          <w:p>
            <w:r>
              <w:rPr>
                <w:b/>
                <w:color w:val="0C2E3F"/>
                <w:sz w:val="17"/>
              </w:rPr>
              <w:t>Why / In line with your goals (bullets)</w:t>
            </w:r>
          </w:p>
        </w:tc>
        <w:tc>
          <w:tcPr>
            <w:tcW w:type="dxa" w:w="5256"/>
          </w:tcPr>
          <w:p>
            <w:r>
              <w:rPr>
                <w:color w:val="B8860B"/>
                <w:sz w:val="19"/>
              </w:rPr>
              <w:t>• Reduces bad (non‑deductible) debt, improves cashflow and brings forward the date your home loan is repaid.</w:t>
            </w:r>
          </w:p>
        </w:tc>
      </w:tr>
      <w:tr>
        <w:tc>
          <w:tcPr>
            <w:tcW w:type="dxa" w:w="5256"/>
            <w:shd w:val="clear" w:fill="E5F4F6"/>
          </w:tcPr>
          <w:p>
            <w:r>
              <w:rPr>
                <w:b/>
                <w:color w:val="0C2E3F"/>
                <w:sz w:val="17"/>
              </w:rPr>
              <w:t>Risks &amp; Disadvantages (bullets)</w:t>
            </w:r>
          </w:p>
        </w:tc>
        <w:tc>
          <w:tcPr>
            <w:tcW w:type="dxa" w:w="5256"/>
          </w:tcPr>
          <w:p>
            <w:r>
              <w:rPr>
                <w:color w:val="B8860B"/>
                <w:sz w:val="19"/>
              </w:rPr>
              <w:t>• Applying the funds to debt reduces your available liquidity; consider retaining an appropriate cash buffer for emergencies.</w:t>
            </w:r>
          </w:p>
        </w:tc>
      </w:tr>
      <w:tr>
        <w:tc>
          <w:tcPr>
            <w:tcW w:type="dxa" w:w="5256"/>
            <w:shd w:val="clear" w:fill="E5F4F6"/>
          </w:tcPr>
          <w:p>
            <w:r>
              <w:rPr>
                <w:b/>
                <w:color w:val="0C2E3F"/>
                <w:sz w:val="17"/>
              </w:rPr>
              <w:t>Alternatives (bullets)</w:t>
            </w:r>
          </w:p>
        </w:tc>
        <w:tc>
          <w:tcPr>
            <w:tcW w:type="dxa" w:w="5256"/>
          </w:tcPr>
          <w:p>
            <w:r>
              <w:rPr>
                <w:color w:val="B8860B"/>
                <w:sz w:val="19"/>
              </w:rPr>
              <w:t>• We considered investing the inheritance instead of reducing the home loan. This was not recommended as reducing non‑deductible debt provides a certain, tax‑effective return equal to your home loan interest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for an estimated $XXX and use the net proceeds towards the purchase of a new home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Upgrading your home meets your lifestyle goals while we structure the remaining borrowings efficiently.</w:t>
            </w:r>
          </w:p>
        </w:tc>
      </w:tr>
      <w:tr>
        <w:tc>
          <w:tcPr>
            <w:tcW w:type="dxa" w:w="5256"/>
            <w:shd w:val="clear" w:fill="E5F4F6"/>
          </w:tcPr>
          <w:p>
            <w:r>
              <w:rPr>
                <w:b/>
                <w:color w:val="0C2E3F"/>
                <w:sz w:val="17"/>
              </w:rPr>
              <w:t>Why / In line with your goals (bullets)</w:t>
            </w:r>
          </w:p>
        </w:tc>
        <w:tc>
          <w:tcPr>
            <w:tcW w:type="dxa" w:w="5256"/>
          </w:tcPr>
          <w:p>
            <w:r>
              <w:rPr>
                <w:color w:val="B8860B"/>
                <w:sz w:val="19"/>
              </w:rPr>
              <w:t>• Meets your lifestyle/family goals.</w:t>
              <w:br/>
              <w:t>• Net proceeds from the existing home reduce the new home borrowings.</w:t>
            </w:r>
          </w:p>
        </w:tc>
      </w:tr>
      <w:tr>
        <w:tc>
          <w:tcPr>
            <w:tcW w:type="dxa" w:w="5256"/>
            <w:shd w:val="clear" w:fill="E5F4F6"/>
          </w:tcPr>
          <w:p>
            <w:r>
              <w:rPr>
                <w:b/>
                <w:color w:val="0C2E3F"/>
                <w:sz w:val="17"/>
              </w:rPr>
              <w:t>Risks &amp; Disadvantages (bullets)</w:t>
            </w:r>
          </w:p>
        </w:tc>
        <w:tc>
          <w:tcPr>
            <w:tcW w:type="dxa" w:w="5256"/>
          </w:tcPr>
          <w:p>
            <w:r>
              <w:rPr>
                <w:color w:val="B8860B"/>
                <w:sz w:val="19"/>
              </w:rPr>
              <w:t>• Transaction costs (agent, legals, stamp duty) apply.</w:t>
              <w:br/>
              <w:t>• A larger non‑deductible home loan may reduce surplus available for investment.</w:t>
              <w:br/>
              <w:t>• Timing risk between sale and purchase; bridging finance may be required.</w:t>
            </w:r>
          </w:p>
        </w:tc>
      </w:tr>
      <w:tr>
        <w:tc>
          <w:tcPr>
            <w:tcW w:type="dxa" w:w="5256"/>
            <w:shd w:val="clear" w:fill="E5F4F6"/>
          </w:tcPr>
          <w:p>
            <w:r>
              <w:rPr>
                <w:b/>
                <w:color w:val="0C2E3F"/>
                <w:sz w:val="17"/>
              </w:rPr>
              <w:t>Alternatives (bullets)</w:t>
            </w:r>
          </w:p>
        </w:tc>
        <w:tc>
          <w:tcPr>
            <w:tcW w:type="dxa" w:w="5256"/>
          </w:tcPr>
          <w:p>
            <w:r>
              <w:rPr>
                <w:color w:val="B8860B"/>
                <w:sz w:val="19"/>
              </w:rPr>
              <w:t>• Renovate/retain the existing home instead of upgrading — discounted where it does not meet your needs.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(NOTE: no real recommendation found in 21 sample SOAs — please verify wording)</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a new investment bond and invest $XXX initially and $XXX per month, invested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An investment bond provides a tax‑effective, long‑term investment structure that becomes tax paid after 10 years.</w:t>
            </w:r>
          </w:p>
        </w:tc>
      </w:tr>
      <w:tr>
        <w:tc>
          <w:tcPr>
            <w:tcW w:type="dxa" w:w="5256"/>
            <w:shd w:val="clear" w:fill="E5F4F6"/>
          </w:tcPr>
          <w:p>
            <w:r>
              <w:rPr>
                <w:b/>
                <w:color w:val="0C2E3F"/>
                <w:sz w:val="17"/>
              </w:rPr>
              <w:t>Why / In line with your goals (bullets)</w:t>
            </w:r>
          </w:p>
        </w:tc>
        <w:tc>
          <w:tcPr>
            <w:tcW w:type="dxa" w:w="5256"/>
          </w:tcPr>
          <w:p>
            <w:r>
              <w:rPr>
                <w:color w:val="B8860B"/>
                <w:sz w:val="19"/>
              </w:rPr>
              <w:t>• Earnings are taxed within the bond at up to 30% (not your marginal rate), and after 10 years withdrawals are tax‑free.</w:t>
              <w:br/>
              <w:t>• Useful for high‑income earners and for estate/education planning, with no contribution cap (subject to the 125% rule).</w:t>
            </w:r>
          </w:p>
        </w:tc>
      </w:tr>
      <w:tr>
        <w:tc>
          <w:tcPr>
            <w:tcW w:type="dxa" w:w="5256"/>
            <w:shd w:val="clear" w:fill="E5F4F6"/>
          </w:tcPr>
          <w:p>
            <w:r>
              <w:rPr>
                <w:b/>
                <w:color w:val="0C2E3F"/>
                <w:sz w:val="17"/>
              </w:rPr>
              <w:t>Risks &amp; Disadvantages (bullets)</w:t>
            </w:r>
          </w:p>
        </w:tc>
        <w:tc>
          <w:tcPr>
            <w:tcW w:type="dxa" w:w="5256"/>
          </w:tcPr>
          <w:p>
            <w:r>
              <w:rPr>
                <w:color w:val="B8860B"/>
                <w:sz w:val="19"/>
              </w:rPr>
              <w:t>• If you withdraw within the first 10 years some of the profits will be assessable, although you receive a 30% tax offset on the assessable amount.</w:t>
              <w:br/>
              <w:t>• If you contribute more than 125% of the previous year's contributions, the 10‑year period restarts.</w:t>
              <w:br/>
              <w:t>• Investment bonds involve investment risk and do not guarantee returns; you may pay a buy/sell spread.</w:t>
            </w:r>
          </w:p>
        </w:tc>
      </w:tr>
      <w:tr>
        <w:tc>
          <w:tcPr>
            <w:tcW w:type="dxa" w:w="5256"/>
            <w:shd w:val="clear" w:fill="E5F4F6"/>
          </w:tcPr>
          <w:p>
            <w:r>
              <w:rPr>
                <w:b/>
                <w:color w:val="0C2E3F"/>
                <w:sz w:val="17"/>
              </w:rPr>
              <w:t>Alternatives (bullets)</w:t>
            </w:r>
          </w:p>
        </w:tc>
        <w:tc>
          <w:tcPr>
            <w:tcW w:type="dxa" w:w="5256"/>
          </w:tcPr>
          <w:p>
            <w:r>
              <w:rPr>
                <w:color w:val="B8860B"/>
                <w:sz w:val="19"/>
              </w:rPr>
              <w:t>• Invest via a standard investment account — discounted where the client's marginal tax rate makes the bond's tax structure advantageous.</w:t>
              <w:br/>
              <w:t>• Contribute to superannuation — discounted where accessibility before preservation age is required.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 benefit entitlement and any valuable insurance held in the scheme.</w:t>
              <w:br/>
              <w:t>• Continuing concessional contributions helps reduce the effect of fees/premiums and provides net tax savings of approximately $XXX p.a.</w:t>
            </w:r>
          </w:p>
        </w:tc>
      </w:tr>
      <w:tr>
        <w:tc>
          <w:tcPr>
            <w:tcW w:type="dxa" w:w="5256"/>
            <w:shd w:val="clear" w:fill="E5F4F6"/>
          </w:tcPr>
          <w:p>
            <w:r>
              <w:rPr>
                <w:b/>
                <w:color w:val="0C2E3F"/>
                <w:sz w:val="17"/>
              </w:rPr>
              <w:t>Risks &amp; Disadvantages (bullets)</w:t>
            </w:r>
          </w:p>
        </w:tc>
        <w:tc>
          <w:tcPr>
            <w:tcW w:type="dxa" w:w="5256"/>
          </w:tcPr>
          <w:p>
            <w:r>
              <w:rPr>
                <w:sz w:val="19"/>
              </w:rP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We have scoped out your Military Super (Defined Benefit) as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non-concessional (after-tax) contribution of $XXX to superannuation.</w:t>
            </w:r>
          </w:p>
        </w:tc>
      </w:tr>
      <w:tr>
        <w:tc>
          <w:tcPr>
            <w:tcW w:type="dxa" w:w="5256"/>
            <w:shd w:val="clear" w:fill="E5F4F6"/>
          </w:tcPr>
          <w:p>
            <w:r>
              <w:rPr>
                <w:b/>
                <w:color w:val="0C2E3F"/>
                <w:sz w:val="17"/>
              </w:rPr>
              <w:t>Summary – Outcomes line</w:t>
            </w:r>
          </w:p>
        </w:tc>
        <w:tc>
          <w:tcPr>
            <w:tcW w:type="dxa" w:w="5256"/>
          </w:tcPr>
          <w:p>
            <w:r>
              <w:rPr>
                <w:color w:val="B8860B"/>
                <w:sz w:val="19"/>
              </w:rPr>
              <w:t>Moving after‑tax savings into super grows them in a low‑tax environment for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Boosts your retirement savings in the concessionally taxed super environment.</w:t>
              <w:br/>
              <w:t>• Earnings are taxed at up to 15% rather than your marginal rate.</w:t>
            </w:r>
          </w:p>
        </w:tc>
      </w:tr>
      <w:tr>
        <w:tc>
          <w:tcPr>
            <w:tcW w:type="dxa" w:w="5256"/>
            <w:shd w:val="clear" w:fill="E5F4F6"/>
          </w:tcPr>
          <w:p>
            <w:r>
              <w:rPr>
                <w:b/>
                <w:color w:val="0C2E3F"/>
                <w:sz w:val="17"/>
              </w:rPr>
              <w:t>Risks &amp; Disadvantages (bullets)</w:t>
            </w:r>
          </w:p>
        </w:tc>
        <w:tc>
          <w:tcPr>
            <w:tcW w:type="dxa" w:w="5256"/>
          </w:tcPr>
          <w:p>
            <w:r>
              <w:rPr>
                <w:color w:val="B8860B"/>
                <w:sz w:val="19"/>
              </w:rPr>
              <w:t>• Non‑concessional contributions are subject to an annual cap (and eligibility depends on your total super balance); exceeding the cap results in additional tax.</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color w:val="B8860B"/>
                <w:sz w:val="19"/>
              </w:rPr>
              <w:t>• Retain the funds outside super — discounted where the concessional tax treatment within super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 contribution</w:t>
              <w:br/>
              <w:t>• downsizer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downsizer contribution of up to $300,000 each ($600,000 combined) to superannuation from the proceeds of selling your home.</w:t>
            </w:r>
          </w:p>
        </w:tc>
      </w:tr>
      <w:tr>
        <w:tc>
          <w:tcPr>
            <w:tcW w:type="dxa" w:w="5256"/>
            <w:shd w:val="clear" w:fill="E5F4F6"/>
          </w:tcPr>
          <w:p>
            <w:r>
              <w:rPr>
                <w:b/>
                <w:color w:val="0C2E3F"/>
                <w:sz w:val="17"/>
              </w:rPr>
              <w:t>Summary – Outcomes line</w:t>
            </w:r>
          </w:p>
        </w:tc>
        <w:tc>
          <w:tcPr>
            <w:tcW w:type="dxa" w:w="5256"/>
          </w:tcPr>
          <w:p>
            <w:r>
              <w:rPr>
                <w:color w:val="B8860B"/>
                <w:sz w:val="19"/>
              </w:rPr>
              <w:t>A downsizer contribution moves home-sale proceeds into the low-tax super environment without using your contribution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Allows you to boost retirement savings from the proceeds of selling your home.</w:t>
            </w:r>
          </w:p>
        </w:tc>
      </w:tr>
      <w:tr>
        <w:tc>
          <w:tcPr>
            <w:tcW w:type="dxa" w:w="5256"/>
            <w:shd w:val="clear" w:fill="E5F4F6"/>
          </w:tcPr>
          <w:p>
            <w:r>
              <w:rPr>
                <w:b/>
                <w:color w:val="0C2E3F"/>
                <w:sz w:val="17"/>
              </w:rPr>
              <w:t>Risks &amp; Disadvantages (bullets)</w:t>
            </w:r>
          </w:p>
        </w:tc>
        <w:tc>
          <w:tcPr>
            <w:tcW w:type="dxa" w:w="5256"/>
          </w:tcPr>
          <w:p>
            <w:r>
              <w:rPr>
                <w:color w:val="B8860B"/>
                <w:sz w:val="19"/>
              </w:rPr>
              <w:t>• You must be age 55 or older, have owned the home for at least 10 years, and make the contribution within 90 days of settlement; the amount counts toward your transfer balance cap and is preserved.</w:t>
            </w:r>
          </w:p>
        </w:tc>
      </w:tr>
      <w:tr>
        <w:tc>
          <w:tcPr>
            <w:tcW w:type="dxa" w:w="5256"/>
            <w:shd w:val="clear" w:fill="E5F4F6"/>
          </w:tcPr>
          <w:p>
            <w:r>
              <w:rPr>
                <w:b/>
                <w:color w:val="0C2E3F"/>
                <w:sz w:val="17"/>
              </w:rPr>
              <w:t>Alternatives (bullets)</w:t>
            </w:r>
          </w:p>
        </w:tc>
        <w:tc>
          <w:tcPr>
            <w:tcW w:type="dxa" w:w="5256"/>
          </w:tcPr>
          <w:p>
            <w:r>
              <w:rPr>
                <w:color w:val="B8860B"/>
                <w:sz w:val="19"/>
              </w:rPr>
              <w:t>• Retain the proceeds outside super — discounted where the concessional super environment better meets your retirement goal.</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a [Variable Age-Stepped / Level] premium structure for all cover.</w:t>
            </w:r>
          </w:p>
        </w:tc>
      </w:tr>
      <w:tr>
        <w:tc>
          <w:tcPr>
            <w:tcW w:type="dxa" w:w="5256"/>
            <w:shd w:val="clear" w:fill="E5F4F6"/>
          </w:tcPr>
          <w:p>
            <w:r>
              <w:rPr>
                <w:b/>
                <w:color w:val="0C2E3F"/>
                <w:sz w:val="17"/>
              </w:rPr>
              <w:t>Summary – Outcomes line</w:t>
            </w:r>
          </w:p>
        </w:tc>
        <w:tc>
          <w:tcPr>
            <w:tcW w:type="dxa" w:w="5256"/>
          </w:tcPr>
          <w:p>
            <w:r>
              <w:rPr>
                <w:color w:val="B8860B"/>
                <w:sz w:val="19"/>
              </w:rPr>
              <w:t>The recommended premium structure balances affordability now against the long-term cost of holding the cover.</w:t>
            </w:r>
          </w:p>
        </w:tc>
      </w:tr>
      <w:tr>
        <w:tc>
          <w:tcPr>
            <w:tcW w:type="dxa" w:w="5256"/>
            <w:shd w:val="clear" w:fill="E5F4F6"/>
          </w:tcPr>
          <w:p>
            <w:r>
              <w:rPr>
                <w:b/>
                <w:color w:val="0C2E3F"/>
                <w:sz w:val="17"/>
              </w:rPr>
              <w:t>Why / In line with your goals (bullets)</w:t>
            </w:r>
          </w:p>
        </w:tc>
        <w:tc>
          <w:tcPr>
            <w:tcW w:type="dxa" w:w="5256"/>
          </w:tcPr>
          <w:p>
            <w:r>
              <w:rPr>
                <w:color w:val="B8860B"/>
                <w:sz w:val="19"/>
              </w:rPr>
              <w:t>• A variable age-stepped/stepped structure keeps premiums lower in the early years; a level structure costs more initially but is more stable and can be cheaper over the long term if cover is held for many years.</w:t>
            </w:r>
          </w:p>
        </w:tc>
      </w:tr>
      <w:tr>
        <w:tc>
          <w:tcPr>
            <w:tcW w:type="dxa" w:w="5256"/>
            <w:shd w:val="clear" w:fill="E5F4F6"/>
          </w:tcPr>
          <w:p>
            <w:r>
              <w:rPr>
                <w:b/>
                <w:color w:val="0C2E3F"/>
                <w:sz w:val="17"/>
              </w:rPr>
              <w:t>Risks &amp; Disadvantages (bullets)</w:t>
            </w:r>
          </w:p>
        </w:tc>
        <w:tc>
          <w:tcPr>
            <w:tcW w:type="dxa" w:w="5256"/>
          </w:tcPr>
          <w:p>
            <w:r>
              <w:rPr>
                <w:color w:val="B8860B"/>
                <w:sz w:val="19"/>
              </w:rPr>
              <w:t>• Stepped premiums increase with age and can become expensive in later years; level premiums are higher initially and you may pay more if you cancel the cover early.</w:t>
            </w:r>
          </w:p>
        </w:tc>
      </w:tr>
      <w:tr>
        <w:tc>
          <w:tcPr>
            <w:tcW w:type="dxa" w:w="5256"/>
            <w:shd w:val="clear" w:fill="E5F4F6"/>
          </w:tcPr>
          <w:p>
            <w:r>
              <w:rPr>
                <w:b/>
                <w:color w:val="0C2E3F"/>
                <w:sz w:val="17"/>
              </w:rPr>
              <w:t>Alternatives (bullets)</w:t>
            </w:r>
          </w:p>
        </w:tc>
        <w:tc>
          <w:tcPr>
            <w:tcW w:type="dxa" w:w="5256"/>
          </w:tcPr>
          <w:p>
            <w:r>
              <w:rPr>
                <w:color w:val="B8860B"/>
                <w:sz w:val="19"/>
              </w:rPr>
              <w:t>• The alternative premium structure was considered and discounted based on your expected holding period and affordability.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contact a solicitor to consider establishing a testamentary trust within your Will.</w:t>
            </w:r>
          </w:p>
        </w:tc>
      </w:tr>
      <w:tr>
        <w:tc>
          <w:tcPr>
            <w:tcW w:type="dxa" w:w="5256"/>
            <w:shd w:val="clear" w:fill="E5F4F6"/>
          </w:tcPr>
          <w:p>
            <w:r>
              <w:rPr>
                <w:b/>
                <w:color w:val="0C2E3F"/>
                <w:sz w:val="17"/>
              </w:rPr>
              <w:t>Summary – Outcomes line</w:t>
            </w:r>
          </w:p>
        </w:tc>
        <w:tc>
          <w:tcPr>
            <w:tcW w:type="dxa" w:w="5256"/>
          </w:tcPr>
          <w:p>
            <w:r>
              <w:rPr>
                <w:color w:val="B8860B"/>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color w:val="B8860B"/>
                <w:sz w:val="19"/>
              </w:rPr>
              <w:t>• Tax benefits — a testamentary trust allows trustees to distribute and split income with tax planning in mind.</w:t>
              <w:br/>
              <w:t>• Asset protection — the trust holds title to the assets, helping protect them from litigation, bankruptcy or legal action.</w:t>
              <w:br/>
              <w:t>• Flexibility — distributions can be tailored to individual beneficiary circumstances.</w:t>
            </w:r>
          </w:p>
        </w:tc>
      </w:tr>
      <w:tr>
        <w:tc>
          <w:tcPr>
            <w:tcW w:type="dxa" w:w="5256"/>
            <w:shd w:val="clear" w:fill="E5F4F6"/>
          </w:tcPr>
          <w:p>
            <w:r>
              <w:rPr>
                <w:b/>
                <w:color w:val="0C2E3F"/>
                <w:sz w:val="17"/>
              </w:rPr>
              <w:t>Risks &amp; Disadvantages (bullets)</w:t>
            </w:r>
          </w:p>
        </w:tc>
        <w:tc>
          <w:tcPr>
            <w:tcW w:type="dxa" w:w="5256"/>
          </w:tcPr>
          <w:p>
            <w:r>
              <w:rPr>
                <w:color w:val="B8860B"/>
                <w:sz w:val="19"/>
              </w:rPr>
              <w:t>• A testamentary trust adds complexity and ongoing administration; obtain specialist legal advice.</w:t>
            </w:r>
          </w:p>
        </w:tc>
      </w:tr>
      <w:tr>
        <w:tc>
          <w:tcPr>
            <w:tcW w:type="dxa" w:w="5256"/>
            <w:shd w:val="clear" w:fill="E5F4F6"/>
          </w:tcPr>
          <w:p>
            <w:r>
              <w:rPr>
                <w:b/>
                <w:color w:val="0C2E3F"/>
                <w:sz w:val="17"/>
              </w:rPr>
              <w:t>Alternatives (bullets)</w:t>
            </w:r>
          </w:p>
        </w:tc>
        <w:tc>
          <w:tcPr>
            <w:tcW w:type="dxa" w:w="5256"/>
          </w:tcPr>
          <w:p>
            <w:r>
              <w:rPr>
                <w:color w:val="B8860B"/>
                <w:sz w:val="19"/>
              </w:rPr>
              <w:t>• Distribute the estate directly via the Will — discounted where the tax/asset‑protection benefits of a trust are valuable to your beneficiaries.</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none of the 10 sample SOAs used a company/bucket company/trust as the ADVICE ENTITY (the family trust was always scoped out). Please send an SOA where the entity IS the client so I can replace these with your real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