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  <w:jc w:val="left"/>
      </w:pPr>
      <w:r>
        <w:rPr>
          <w:b/>
          <w:bCs/>
          <w:color w:val="2B6FD6"/>
          <w:sz w:val="22"/>
          <w:szCs w:val="22"/>
          <w:rFonts w:ascii="ABC Arizona Flare" w:cs="ABC Arizona Flare" w:eastAsia="ABC Arizona Flare" w:hAnsi="ABC Arizona Flare"/>
        </w:rPr>
        <w:t xml:space="preserve">My Wealth Solutions</w:t>
      </w:r>
    </w:p>
    <w:p>
      <w:pPr>
        <w:spacing w:before="0" w:after="60"/>
      </w:pPr>
      <w:r>
        <w:rPr>
          <w:b/>
          <w:bCs/>
          <w:color w:val="0C2E3F"/>
          <w:sz w:val="44"/>
          <w:szCs w:val="44"/>
          <w:rFonts w:ascii="ABC Arizona Flare" w:cs="ABC Arizona Flare" w:eastAsia="ABC Arizona Flare" w:hAnsi="ABC Arizona Flare"/>
        </w:rPr>
        <w:t xml:space="preserve">Standard Operating Procedure</w:t>
      </w:r>
    </w:p>
    <w:p>
      <w:pPr>
        <w:pBdr>
          <w:bottom w:val="single" w:color="2B6FD6" w:sz="8" w:space="6"/>
        </w:pBdr>
        <w:spacing w:before="0" w:after="120"/>
      </w:pPr>
      <w:r>
        <w:rPr>
          <w:b/>
          <w:bCs/>
          <w:color w:val="2B6FD6"/>
          <w:sz w:val="28"/>
          <w:szCs w:val="28"/>
          <w:rFonts w:ascii="ABC Arizona Flare" w:cs="ABC Arizona Flare" w:eastAsia="ABC Arizona Flare" w:hAnsi="ABC Arizona Flare"/>
        </w:rPr>
        <w:t xml:space="preserve">Cashflow Advice Fee — Tax Invoice Generator</w:t>
      </w:r>
    </w:p>
    <w:p>
      <w:pPr>
        <w:spacing w:before="40" w:after="80" w:line="276"/>
      </w:pPr>
      <w:r>
        <w:rPr>
          <w:b/>
          <w:bCs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Document owner: </w:t>
      </w:r>
      <w:r>
        <w:rPr>
          <w:b w:val="false"/>
          <w:bCs w:val="false"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Advice Operations   ·   </w:t>
      </w:r>
      <w:r>
        <w:rPr>
          <w:b/>
          <w:bCs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Applies to: </w:t>
      </w:r>
      <w:r>
        <w:rPr>
          <w:b w:val="false"/>
          <w:bCs w:val="false"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All advisers &amp; support staff   ·   </w:t>
      </w:r>
      <w:r>
        <w:rPr>
          <w:b/>
          <w:bCs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Tool: </w:t>
      </w:r>
      <w:r>
        <w:rPr>
          <w:b w:val="false"/>
          <w:bCs w:val="false"/>
          <w:i w:val="false"/>
          <w:iCs w:val="false"/>
          <w:color w:val="5a6b76"/>
          <w:sz w:val="19"/>
          <w:szCs w:val="19"/>
          <w:rFonts w:ascii="Nunito Sans" w:cs="Nunito Sans" w:eastAsia="Nunito Sans" w:hAnsi="Nunito Sans"/>
        </w:rPr>
        <w:t xml:space="preserve">Tax_Invoice_Generator_v1.0.html</w:t>
      </w:r>
    </w:p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1. Purpose</w:t>
      </w:r>
    </w:p>
    <w:p>
      <w:pPr>
        <w:spacing w:before="40" w:after="8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Nunito Sans" w:cs="Nunito Sans" w:eastAsia="Nunito Sans" w:hAnsi="Nunito Sans"/>
        </w:rPr>
        <w:t xml:space="preserve">This SOP explains how to produce a client tax invoice that apportions cashflow advice fees between tax-deductible and non-deductible components, in line with ATO Determination TD 2024/7. The generator produces a Word invoice per fee type showing each strategy, its weighting, and the deductible amount, plus a running register of every invoice issued.</w:t>
      </w:r>
    </w:p>
    <w:tbl>
      <w:tblPr>
        <w:tblW w:type="dxa" w:w="9026"/>
        <w:tblBorders>
          <w:top w:val="single" w:color="D4E2EE" w:sz="4"/>
          <w:left w:val="single" w:color="2B6FD6" w:sz="18"/>
          <w:bottom w:val="single" w:color="D4E2EE" w:sz="4"/>
          <w:right w:val="single" w:color="D4E2E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276"/>
            </w:pPr>
            <w:r>
              <w:rPr>
                <w:b/>
                <w:bCs/>
                <w:color w:val="2B6FD6"/>
                <w:sz w:val="20"/>
                <w:szCs w:val="20"/>
                <w:rFonts w:ascii="Nunito Sans" w:cs="Nunito Sans" w:eastAsia="Nunito Sans" w:hAnsi="Nunito Sans"/>
              </w:rPr>
              <w:t xml:space="preserve">Why it matters  </w:t>
            </w: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TD 2024/7 lets clients claim a deduction for the part of an advice fee that relates to tax (financial) advice or managing income-producing investments — but only where the apportionment is fair and reasonable and the invoice itemises it. This tool produces that itemised invoice.</w:t>
            </w:r>
          </w:p>
        </w:tc>
      </w:tr>
    </w:tbl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2. When to Use This Tool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A client (or their accountant) asks what portion of their advice fees is tax deductible.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End of financial year — producing deductibility invoices for ongoing-service clients.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After an upfront / retainer engagement completes and the client wants the fee apportioned.</w:t>
      </w:r>
    </w:p>
    <w:tbl>
      <w:tblPr>
        <w:tblW w:type="dxa" w:w="9026"/>
        <w:tblBorders>
          <w:top w:val="single" w:color="D4E2EE" w:sz="4"/>
          <w:left w:val="single" w:color="0C2E3F" w:sz="18"/>
          <w:bottom w:val="single" w:color="D4E2EE" w:sz="4"/>
          <w:right w:val="single" w:color="D4E2E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5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276"/>
            </w:pPr>
            <w:r>
              <w:rPr>
                <w:b/>
                <w:bCs/>
                <w:color w:val="0C2E3F"/>
                <w:sz w:val="20"/>
                <w:szCs w:val="20"/>
                <w:rFonts w:ascii="Nunito Sans" w:cs="Nunito Sans" w:eastAsia="Nunito Sans" w:hAnsi="Nunito Sans"/>
              </w:rPr>
              <w:t xml:space="preserve">Rule  </w:t>
            </w: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Retainer (upfront) fees and ongoing fees are ALWAYS separate invoices — they usually cover different strategies (e.g. establishing an account is not deductible; managing an existing one may be). The tool never merges them.</w:t>
            </w:r>
          </w:p>
        </w:tc>
      </w:tr>
    </w:tbl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3. Before You Start — Checklist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Most recent relevant SOA(s)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— the strategies you invoice must match the advice actually provided.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Most recent wealth review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(where applicable) — cross-check that the strategies are still current.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Fee amounts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— the All Transactions fee report can be imported directly, see Step 1.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Client postal address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— it prints on the invoice and is not in the fee report.</w:t>
      </w:r>
    </w:p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4. Procedure</w:t>
      </w:r>
    </w:p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1 — (Optional) Import the fee report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Open the Import tab and drop in the "All Transactions" fee report (Excel/CSV export).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Filter by adviser if needed, then search for the client group. The tool groups total fees paid per client per financial year (it auto-selects the FY with the most payments).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Check the flags: </w:t>
      </w: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⚠ single payments ≥ $5,000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 (possible upfront fee), one-off / larger payments are classed as </w:t>
      </w: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upfront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, and groups with </w:t>
      </w: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more than 12 recurring payments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 are flagged for review (there should usually be at most 12 per year).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Click "Draft invoice" on the client — names, FY and amounts prefill. Address and strategies are always entered manually.</w:t>
      </w:r>
    </w:p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2 — Client details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Enter or confirm client name(s) — couples print as "John &amp; Ann Smith" (same surname) or "John Smith &amp; Ann Doe" (different surnames).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Enter the postal address, select the financial year, and pick the office / adviser (the corporate authorised details fill in automatically).</w:t>
      </w:r>
    </w:p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3 — Fees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Enter the Retainer (upfront) fee and/or the Ongoing fee for the year. Each fee produces its own invoice with its own strategy list.</w:t>
      </w:r>
    </w:p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4 — Strategies &amp; apportioning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For EACH invoice, add the strategies actually advised on, selecting from the built-in Apportioning Rules list.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Set each strategy's weighting (%). Weightings must total no more than 100% per invoice — the tool enforces this.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Review the deductible % for each strategy. Defaults are conservative (low end) and default to s8-1 where that is correct; only strategies that are genuinely tax-affairs advice use s25-5.</w:t>
      </w:r>
    </w:p>
    <w:tbl>
      <w:tblPr>
        <w:tblW w:type="dxa" w:w="9026"/>
        <w:tblBorders>
          <w:top w:val="single" w:color="D4E2EE" w:sz="4"/>
          <w:left w:val="single" w:color="B7791F" w:sz="18"/>
          <w:bottom w:val="single" w:color="D4E2EE" w:sz="4"/>
          <w:right w:val="single" w:color="D4E2E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276"/>
            </w:pPr>
            <w:r>
              <w:rPr>
                <w:b/>
                <w:bCs/>
                <w:color w:val="B7791F"/>
                <w:sz w:val="20"/>
                <w:szCs w:val="20"/>
                <w:rFonts w:ascii="Nunito Sans" w:cs="Nunito Sans" w:eastAsia="Nunito Sans" w:hAnsi="Nunito Sans"/>
              </w:rPr>
              <w:t xml:space="preserve">Cross-check  </w:t>
            </w: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Confirm the strategies against the client's most recent relevant SOA(s) and their most recent wealth review (where applicable). The apportionment must reflect the advice actually provided that year — not a template.</w:t>
            </w:r>
          </w:p>
        </w:tc>
      </w:tr>
    </w:tbl>
    <w:tbl>
      <w:tblPr>
        <w:tblW w:type="dxa" w:w="9026"/>
        <w:tblBorders>
          <w:top w:val="single" w:color="D4E2EE" w:sz="4"/>
          <w:left w:val="single" w:color="F56A5A" w:sz="18"/>
          <w:bottom w:val="single" w:color="D4E2EE" w:sz="4"/>
          <w:right w:val="single" w:color="D4E2E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276"/>
            </w:pPr>
            <w:r>
              <w:rPr>
                <w:b/>
                <w:bCs/>
                <w:color w:val="F56A5A"/>
                <w:sz w:val="20"/>
                <w:szCs w:val="20"/>
                <w:rFonts w:ascii="Nunito Sans" w:cs="Nunito Sans" w:eastAsia="Nunito Sans" w:hAnsi="Nunito Sans"/>
              </w:rPr>
              <w:t xml:space="preserve">s25-5 note  </w:t>
            </w: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A s25-5 (tax affairs) deduction is only available where the advice is provided by a registered tax agent or a Qualified Tax Relevant Provider (QTRP) — confirm the adviser's registration as part of normal practice. The apportioning percentages are aligned to the licensee exemplars (examples 5.3.4 / 5.3.5 and the strategy-basis exemplar invoices).</w:t>
            </w:r>
          </w:p>
        </w:tc>
      </w:tr>
    </w:tbl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5 — Review &amp; check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The Review step lists any errors (weightings over 100%, missing fields) and warnings (s25-5 strategies, unusual amounts). Resolve everything before exporting.</w:t>
      </w:r>
    </w:p>
    <w:p>
      <w:pPr>
        <w:pStyle w:val="Heading2"/>
        <w:spacing w:before="200" w:after="80"/>
      </w:pPr>
      <w:r>
        <w:rPr>
          <w:b/>
          <w:bCs/>
          <w:color w:val="2B6FD6"/>
          <w:sz w:val="24"/>
          <w:szCs w:val="24"/>
          <w:rFonts w:ascii="ABC Arizona Flare" w:cs="ABC Arizona Flare" w:eastAsia="ABC Arizona Flare" w:hAnsi="ABC Arizona Flare"/>
        </w:rPr>
        <w:t xml:space="preserve">Step 6 — Export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Export produces one Word document per fee type, named automatically: </w:t>
      </w: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"MWS Tax Invoice Retainer FY25-26 - John Smith"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 / </w:t>
      </w:r>
      <w:r>
        <w:rPr>
          <w:b/>
          <w:bCs/>
          <w:color w:val="1a1a1a"/>
          <w:sz w:val="21"/>
          <w:szCs w:val="21"/>
          <w:rFonts w:ascii="Nunito Sans" w:cs="Nunito Sans" w:eastAsia="Nunito Sans" w:hAnsi="Nunito Sans"/>
        </w:rPr>
        <w:t xml:space="preserve">"MWS Tax Invoice Ongoing FY25-26 - John Smith"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Each export is logged automatically in the register with its invoice number.</w:t>
      </w:r>
    </w:p>
    <w:p>
      <w:pPr>
        <w:pStyle w:val="ListParagraph"/>
        <w:numPr>
          <w:ilvl w:val="0"/>
          <w:numId w:val="3"/>
        </w:numPr>
        <w:spacing w:before="40" w:after="6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Review the Word document before sending — the summary table starts on a new page if it would be cut off; check nothing else needs adjusting.</w:t>
      </w:r>
    </w:p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5. Invoice Register (History Tab)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Every exported invoice is recorded with its auto-generated invoice number, client, fee type, FY, amounts and date.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Download the register as CSV or JSON periodically and file it with practice records.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The register lives in the browser on that computer — it is not shared between machines. Nominate one machine (or one person) as the register of record, or consolidate the CSV downloads.</w:t>
      </w:r>
    </w:p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6. The Tax Framework (Summary)</w:t>
      </w:r>
    </w:p>
    <w:tbl>
      <w:tblPr>
        <w:tblW w:type="dxa" w:w="9026"/>
        <w:tblBorders>
          <w:top w:val="single" w:color="D4E2EE" w:sz="4"/>
          <w:left w:val="single" w:color="D4E2EE" w:sz="4"/>
          <w:bottom w:val="single" w:color="D4E2EE" w:sz="4"/>
          <w:right w:val="single" w:color="D4E2EE" w:sz="4"/>
          <w:insideH w:val="single" w:color="D4E2EE" w:sz="4"/>
          <w:insideV w:val="single" w:color="D4E2EE" w:sz="4"/>
        </w:tblBorders>
      </w:tblPr>
      <w:tblGrid>
        <w:gridCol w:w="2300"/>
        <w:gridCol w:w="6726"/>
      </w:tblGrid>
      <w:tr>
        <w:tc>
          <w:tcPr>
            <w:tcW w:type="dxa" w:w="2300"/>
            <w:shd w:fill="E5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C2E3F"/>
                <w:sz w:val="20"/>
                <w:szCs w:val="20"/>
                <w:rFonts w:ascii="Nunito Sans" w:cs="Nunito Sans" w:eastAsia="Nunito Sans" w:hAnsi="Nunito Sans"/>
              </w:rPr>
              <w:t xml:space="preserve">s8-1 ITAA 1997</w:t>
            </w:r>
          </w:p>
        </w:tc>
        <w:tc>
          <w:tcPr>
            <w:tcW w:type="dxa" w:w="6726"/>
            <w:shd w:fill="E5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76"/>
            </w:pP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Deductible where the fee relates to managing existing income-producing investments (e.g. reviewing an existing portfolio, ongoing super advice). This is the default basis in the tool where it is correct.</w:t>
            </w:r>
          </w:p>
        </w:tc>
      </w:tr>
      <w:tr>
        <w:tc>
          <w:tcPr>
            <w:tcW w:type="dxa" w:w="2300"/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C2E3F"/>
                <w:sz w:val="20"/>
                <w:szCs w:val="20"/>
                <w:rFonts w:ascii="Nunito Sans" w:cs="Nunito Sans" w:eastAsia="Nunito Sans" w:hAnsi="Nunito Sans"/>
              </w:rPr>
              <w:t xml:space="preserve">s25-5 ITAA 1997</w:t>
            </w:r>
          </w:p>
        </w:tc>
        <w:tc>
          <w:tcPr>
            <w:tcW w:type="dxa" w:w="6726"/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76"/>
            </w:pP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Deductible as "managing tax affairs" ONLY where the advice is tax (financial) advice AND given by a registered tax agent or QTRP. Used only where it is genuinely the only available basis.</w:t>
            </w:r>
          </w:p>
        </w:tc>
      </w:tr>
      <w:tr>
        <w:tc>
          <w:tcPr>
            <w:tcW w:type="dxa" w:w="2300"/>
            <w:shd w:fill="E5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C2E3F"/>
                <w:sz w:val="20"/>
                <w:szCs w:val="20"/>
                <w:rFonts w:ascii="Nunito Sans" w:cs="Nunito Sans" w:eastAsia="Nunito Sans" w:hAnsi="Nunito Sans"/>
              </w:rPr>
              <w:t xml:space="preserve">Not deductible</w:t>
            </w:r>
          </w:p>
        </w:tc>
        <w:tc>
          <w:tcPr>
            <w:tcW w:type="dxa" w:w="6726"/>
            <w:shd w:fill="E5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76"/>
            </w:pP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Fees for establishing new investments/accounts, insurance placement, estate planning documents, and other capital or private matters.</w:t>
            </w:r>
          </w:p>
        </w:tc>
      </w:tr>
      <w:tr>
        <w:tc>
          <w:tcPr>
            <w:tcW w:type="dxa" w:w="2300"/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C2E3F"/>
                <w:sz w:val="20"/>
                <w:szCs w:val="20"/>
                <w:rFonts w:ascii="Nunito Sans" w:cs="Nunito Sans" w:eastAsia="Nunito Sans" w:hAnsi="Nunito Sans"/>
              </w:rPr>
              <w:t xml:space="preserve">TD 2024/7</w:t>
            </w:r>
          </w:p>
        </w:tc>
        <w:tc>
          <w:tcPr>
            <w:tcW w:type="dxa" w:w="6726"/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76"/>
            </w:pPr>
            <w:r>
              <w:rPr>
                <w:color w:val="1a1a1a"/>
                <w:sz w:val="20"/>
                <w:szCs w:val="20"/>
                <w:rFonts w:ascii="Nunito Sans" w:cs="Nunito Sans" w:eastAsia="Nunito Sans" w:hAnsi="Nunito Sans"/>
              </w:rPr>
              <w:t xml:space="preserve">Apportionment must be fair and reasonable and supported by an itemised invoice — which is what this generator produces.</w:t>
            </w:r>
          </w:p>
        </w:tc>
      </w:tr>
    </w:tbl>
    <w:p>
      <w:pPr>
        <w:spacing w:before="0" w:after="60"/>
      </w:pPr>
    </w:p>
    <w:p>
      <w:pPr>
        <w:pStyle w:val="Heading1"/>
        <w:spacing w:before="260" w:after="100"/>
      </w:pPr>
      <w:r>
        <w:rPr>
          <w:b/>
          <w:bCs/>
          <w:color w:val="0C2E3F"/>
          <w:sz w:val="30"/>
          <w:szCs w:val="30"/>
          <w:rFonts w:ascii="ABC Arizona Flare" w:cs="ABC Arizona Flare" w:eastAsia="ABC Arizona Flare" w:hAnsi="ABC Arizona Flare"/>
        </w:rPr>
        <w:t xml:space="preserve">7. Do &amp; Don't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E7B4D"/>
          <w:sz w:val="21"/>
          <w:szCs w:val="21"/>
          <w:rFonts w:ascii="Nunito Sans" w:cs="Nunito Sans" w:eastAsia="Nunito Sans" w:hAnsi="Nunito Sans"/>
        </w:rPr>
        <w:t xml:space="preserve">DO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keep the SOA / wealth review used for the apportionment with the client file.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1E7B4D"/>
          <w:sz w:val="21"/>
          <w:szCs w:val="21"/>
          <w:rFonts w:ascii="Nunito Sans" w:cs="Nunito Sans" w:eastAsia="Nunito Sans" w:hAnsi="Nunito Sans"/>
        </w:rPr>
        <w:t xml:space="preserve">DO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use Undo (Ctrl+Z) / Redo (Ctrl+Y) rather than starting over; Reset clears the current invoice only.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F56A5A"/>
          <w:sz w:val="21"/>
          <w:szCs w:val="21"/>
          <w:rFonts w:ascii="Nunito Sans" w:cs="Nunito Sans" w:eastAsia="Nunito Sans" w:hAnsi="Nunito Sans"/>
        </w:rPr>
        <w:t xml:space="preserve">DON'T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merge retainer and ongoing fees into one invoice — they are always issued separately.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F56A5A"/>
          <w:sz w:val="21"/>
          <w:szCs w:val="21"/>
          <w:rFonts w:ascii="Nunito Sans" w:cs="Nunito Sans" w:eastAsia="Nunito Sans" w:hAnsi="Nunito Sans"/>
        </w:rPr>
        <w:t xml:space="preserve">DON'T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override the conservative deductible defaults upward without a documented reason.</w:t>
      </w:r>
    </w:p>
    <w:p>
      <w:pPr>
        <w:pStyle w:val="ListParagraph"/>
        <w:numPr>
          <w:ilvl w:val="0"/>
          <w:numId w:val="2"/>
        </w:numPr>
        <w:spacing w:before="20" w:after="40" w:line="276"/>
      </w:pPr>
      <w:r>
        <w:rPr>
          <w:b/>
          <w:bCs/>
          <w:color w:val="F56A5A"/>
          <w:sz w:val="21"/>
          <w:szCs w:val="21"/>
          <w:rFonts w:ascii="Nunito Sans" w:cs="Nunito Sans" w:eastAsia="Nunito Sans" w:hAnsi="Nunito Sans"/>
        </w:rPr>
        <w:t xml:space="preserve">DON'T </w:t>
      </w:r>
      <w:r>
        <w:rPr>
          <w:b w:val="false"/>
          <w:bCs w:val="false"/>
          <w:color w:val="1a1a1a"/>
          <w:sz w:val="21"/>
          <w:szCs w:val="21"/>
          <w:rFonts w:ascii="Nunito Sans" w:cs="Nunito Sans" w:eastAsia="Nunito Sans" w:hAnsi="Nunito Sans"/>
        </w:rPr>
        <w:t xml:space="preserve">issue an invoice with s25-5 strategies unless the adviser is a registered tax agent or QTRP.</w:t>
      </w:r>
    </w:p>
    <w:p>
      <w:pPr>
        <w:spacing w:before="160" w:after="80" w:line="276"/>
      </w:pPr>
      <w:r>
        <w:rPr>
          <w:b w:val="false"/>
          <w:bCs w:val="false"/>
          <w:i/>
          <w:iCs/>
          <w:color w:val="5a6b76"/>
          <w:sz w:val="19"/>
          <w:szCs w:val="19"/>
          <w:rFonts w:ascii="Nunito Sans" w:cs="Nunito Sans" w:eastAsia="Nunito Sans" w:hAnsi="Nunito Sans"/>
        </w:rPr>
        <w:t xml:space="preserve">This SOP describes how to operate the generator. It is not tax advice — where a client's deductibility position is unusual, refer to the client's accountant.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Nunito Sans" w:cs="Nunito Sans" w:eastAsia="Nunito Sans" w:hAnsi="Nunito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2026-07-28T02:03:56.899Z</dcterms:created>
  <dcterms:modified xsi:type="dcterms:W3CDTF">2026-07-28T02:03:56.911Z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