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a [Variable Age-Stepped / Level] premium structure for all cover.</w:t>
            </w:r>
          </w:p>
        </w:tc>
      </w:tr>
      <w:tr>
        <w:tc>
          <w:tcPr>
            <w:tcW w:type="dxa" w:w="5256"/>
            <w:shd w:val="clear" w:fill="E5F4F6"/>
          </w:tcPr>
          <w:p>
            <w:r>
              <w:rPr>
                <w:b/>
                <w:color w:val="0C2E3F"/>
                <w:sz w:val="17"/>
              </w:rPr>
              <w:t>Summary – Outcomes line</w:t>
            </w:r>
          </w:p>
        </w:tc>
        <w:tc>
          <w:tcPr>
            <w:tcW w:type="dxa" w:w="5256"/>
          </w:tcPr>
          <w:p>
            <w:r>
              <w:rPr>
                <w:color w:val="B8860B"/>
                <w:sz w:val="19"/>
              </w:rPr>
              <w:t>The recommended premium structure balances affordability now against the long-term cost of holding the cover.</w:t>
            </w:r>
          </w:p>
        </w:tc>
      </w:tr>
      <w:tr>
        <w:tc>
          <w:tcPr>
            <w:tcW w:type="dxa" w:w="5256"/>
            <w:shd w:val="clear" w:fill="E5F4F6"/>
          </w:tcPr>
          <w:p>
            <w:r>
              <w:rPr>
                <w:b/>
                <w:color w:val="0C2E3F"/>
                <w:sz w:val="17"/>
              </w:rPr>
              <w:t>Why / In line with your goals (bullets)</w:t>
            </w:r>
          </w:p>
        </w:tc>
        <w:tc>
          <w:tcPr>
            <w:tcW w:type="dxa" w:w="5256"/>
          </w:tcPr>
          <w:p>
            <w:r>
              <w:rPr>
                <w:color w:val="B8860B"/>
                <w:sz w:val="19"/>
              </w:rPr>
              <w:t>• A variable age-stepped/stepped structure keeps premiums lower in the early years; a level structure costs more initially but is more stable and can be cheaper over the long term if cover is held for many years.</w:t>
            </w:r>
          </w:p>
        </w:tc>
      </w:tr>
      <w:tr>
        <w:tc>
          <w:tcPr>
            <w:tcW w:type="dxa" w:w="5256"/>
            <w:shd w:val="clear" w:fill="E5F4F6"/>
          </w:tcPr>
          <w:p>
            <w:r>
              <w:rPr>
                <w:b/>
                <w:color w:val="0C2E3F"/>
                <w:sz w:val="17"/>
              </w:rPr>
              <w:t>Risks &amp; Disadvantages (bullets)</w:t>
            </w:r>
          </w:p>
        </w:tc>
        <w:tc>
          <w:tcPr>
            <w:tcW w:type="dxa" w:w="5256"/>
          </w:tcPr>
          <w:p>
            <w:r>
              <w:rPr>
                <w:color w:val="B8860B"/>
                <w:sz w:val="19"/>
              </w:rPr>
              <w:t>• Stepped premiums increase with age and can become expensive in later years; level premiums are higher initially and you may pay more if you cancel the cover early.</w:t>
            </w:r>
          </w:p>
        </w:tc>
      </w:tr>
      <w:tr>
        <w:tc>
          <w:tcPr>
            <w:tcW w:type="dxa" w:w="5256"/>
            <w:shd w:val="clear" w:fill="E5F4F6"/>
          </w:tcPr>
          <w:p>
            <w:r>
              <w:rPr>
                <w:b/>
                <w:color w:val="0C2E3F"/>
                <w:sz w:val="17"/>
              </w:rPr>
              <w:t>Alternatives (bullets)</w:t>
            </w:r>
          </w:p>
        </w:tc>
        <w:tc>
          <w:tcPr>
            <w:tcW w:type="dxa" w:w="5256"/>
          </w:tcPr>
          <w:p>
            <w:r>
              <w:rPr>
                <w:color w:val="B8860B"/>
                <w:sz w:val="19"/>
              </w:rPr>
              <w:t>• The alternative premium structure was considered and discounted based on your expected holding period and affordability.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