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" w:after="30"/>
      </w:pPr>
      <w:r>
        <w:rPr>
          <w:b/>
          <w:bCs/>
          <w:color w:val="2B6FD6"/>
          <w:sz w:val="21"/>
          <w:szCs w:val="21"/>
          <w:rFonts w:ascii="ABC Arizona Flare" w:cs="ABC Arizona Flare" w:eastAsia="ABC Arizona Flare" w:hAnsi="ABC Arizona Flare"/>
        </w:rPr>
        <w:t xml:space="preserve">My Wealth Solutions</w:t>
      </w:r>
    </w:p>
    <w:p>
      <w:pPr>
        <w:spacing w:before="0" w:after="50"/>
      </w:pPr>
      <w:r>
        <w:rPr>
          <w:b/>
          <w:bCs/>
          <w:color w:val="0C2E3F"/>
          <w:sz w:val="38"/>
          <w:szCs w:val="38"/>
          <w:rFonts w:ascii="ABC Arizona Flare" w:cs="ABC Arizona Flare" w:eastAsia="ABC Arizona Flare" w:hAnsi="ABC Arizona Flare"/>
        </w:rPr>
        <w:t xml:space="preserve">Fee Report Import — Change Specification</w:t>
      </w:r>
    </w:p>
    <w:p>
      <w:pPr>
        <w:pBdr>
          <w:bottom w:val="single" w:color="2B6FD6" w:sz="8" w:space="6"/>
        </w:pBdr>
        <w:spacing w:before="0" w:after="110"/>
      </w:pPr>
      <w:r>
        <w:rPr>
          <w:b/>
          <w:bCs/>
          <w:color w:val="2B6FD6"/>
          <w:sz w:val="23"/>
          <w:szCs w:val="23"/>
          <w:rFonts w:ascii="ABC Arizona Flare" w:cs="ABC Arizona Flare" w:eastAsia="ABC Arizona Flare" w:hAnsi="ABC Arizona Flare"/>
        </w:rPr>
        <w:t xml:space="preserve">Adviser-aware totals + Commitment fee as its own category</w:t>
      </w:r>
    </w:p>
    <w:p>
      <w:pPr>
        <w:spacing w:before="30" w:after="80" w:line="268"/>
      </w:pPr>
      <w:r>
        <w:rPr>
          <w:b/>
          <w:bCs/>
          <w:i w:val="false"/>
          <w:iCs w:val="false"/>
          <w:color w:val="5a6b76"/>
          <w:sz w:val="19"/>
          <w:szCs w:val="19"/>
          <w:rFonts w:ascii="Nunito Sans" w:cs="Nunito Sans" w:eastAsia="Nunito Sans" w:hAnsi="Nunito Sans"/>
        </w:rPr>
        <w:t xml:space="preserve">For: </w:t>
      </w:r>
      <w:r>
        <w:rPr>
          <w:b w:val="false"/>
          <w:bCs w:val="false"/>
          <w:i w:val="false"/>
          <w:iCs w:val="false"/>
          <w:color w:val="5a6b76"/>
          <w:sz w:val="19"/>
          <w:szCs w:val="19"/>
          <w:rFonts w:ascii="Nunito Sans" w:cs="Nunito Sans" w:eastAsia="Nunito Sans" w:hAnsi="Nunito Sans"/>
        </w:rPr>
        <w:t xml:space="preserve">the Replit fee-report import tool.   </w:t>
      </w:r>
      <w:r>
        <w:rPr>
          <w:b/>
          <w:bCs/>
          <w:i w:val="false"/>
          <w:iCs w:val="false"/>
          <w:color w:val="5a6b76"/>
          <w:sz w:val="19"/>
          <w:szCs w:val="19"/>
          <w:rFonts w:ascii="Nunito Sans" w:cs="Nunito Sans" w:eastAsia="Nunito Sans" w:hAnsi="Nunito Sans"/>
        </w:rPr>
        <w:t xml:space="preserve">Report format: </w:t>
      </w:r>
      <w:r>
        <w:rPr>
          <w:b w:val="false"/>
          <w:bCs w:val="false"/>
          <w:i w:val="false"/>
          <w:iCs w:val="false"/>
          <w:color w:val="5a6b76"/>
          <w:sz w:val="19"/>
          <w:szCs w:val="19"/>
          <w:rFonts w:ascii="Nunito Sans" w:cs="Nunito Sans" w:eastAsia="Nunito Sans" w:hAnsi="Nunito Sans"/>
        </w:rPr>
        <w:t xml:space="preserve">“All Transactions” export — key columns: Client Name, Full Name (adviser), Status, Total Amount, Transaction Time, Recurring Payment: Recurring Payments Name.</w:t>
      </w:r>
    </w:p>
    <w:p>
      <w:pPr>
        <w:pStyle w:val="Heading1"/>
        <w:spacing w:before="240" w:after="90"/>
      </w:pPr>
      <w:r>
        <w:rPr>
          <w:b/>
          <w:bCs/>
          <w:color w:val="0C2E3F"/>
          <w:sz w:val="28"/>
          <w:szCs w:val="28"/>
          <w:rFonts w:ascii="ABC Arizona Flare" w:cs="ABC Arizona Flare" w:eastAsia="ABC Arizona Flare" w:hAnsi="ABC Arizona Flare"/>
        </w:rPr>
        <w:t xml:space="preserve">1. What Changes (Summary)</w:t>
      </w:r>
    </w:p>
    <w:p>
      <w:pPr>
        <w:pStyle w:val="ListParagraph"/>
        <w:numPr>
          <w:ilvl w:val="0"/>
          <w:numId w:val="2"/>
        </w:numPr>
        <w:spacing w:before="30" w:after="55" w:line="268"/>
      </w:pPr>
      <w:r>
        <w:rPr>
          <w:b/>
          <w:bCs/>
          <w:sz w:val="20"/>
          <w:szCs w:val="20"/>
          <w:rFonts w:ascii="Nunito Sans" w:cs="Nunito Sans" w:eastAsia="Nunito Sans" w:hAnsi="Nunito Sans"/>
        </w:rPr>
        <w:t xml:space="preserve">Adviser-aware tiles: </w:t>
      </w:r>
      <w:r>
        <w:rPr>
          <w:b w:val="false"/>
          <w:bCs w:val="false"/>
          <w:sz w:val="20"/>
          <w:szCs w:val="20"/>
          <w:rFonts w:ascii="Nunito Sans" w:cs="Nunito Sans" w:eastAsia="Nunito Sans" w:hAnsi="Nunito Sans"/>
        </w:rPr>
        <w:t xml:space="preserve">every summary tile recomputes when the adviser filter changes, with a visible scope chip. “All advisers” shows whole-report figures; a selected adviser shows only their clients’ figures.</w:t>
      </w:r>
    </w:p>
    <w:p>
      <w:pPr>
        <w:pStyle w:val="ListParagraph"/>
        <w:numPr>
          <w:ilvl w:val="0"/>
          <w:numId w:val="2"/>
        </w:numPr>
        <w:spacing w:before="30" w:after="55" w:line="268"/>
      </w:pPr>
      <w:r>
        <w:rPr>
          <w:b/>
          <w:bCs/>
          <w:sz w:val="20"/>
          <w:szCs w:val="20"/>
          <w:rFonts w:ascii="Nunito Sans" w:cs="Nunito Sans" w:eastAsia="Nunito Sans" w:hAnsi="Nunito Sans"/>
        </w:rPr>
        <w:t xml:space="preserve">Three fee categories instead of two: </w:t>
      </w:r>
      <w:r>
        <w:rPr>
          <w:b w:val="false"/>
          <w:bCs w:val="false"/>
          <w:sz w:val="20"/>
          <w:szCs w:val="20"/>
          <w:rFonts w:ascii="Nunito Sans" w:cs="Nunito Sans" w:eastAsia="Nunito Sans" w:hAnsi="Nunito Sans"/>
        </w:rPr>
        <w:t xml:space="preserve">COMMITMENT, UPFRONT/ONE-OFF and ONGOING. Commitment is currently buried inside ongoing because it is entered as a one-off “ongoing” transaction.</w:t>
      </w:r>
    </w:p>
    <w:p>
      <w:pPr>
        <w:pStyle w:val="ListParagraph"/>
        <w:numPr>
          <w:ilvl w:val="0"/>
          <w:numId w:val="2"/>
        </w:numPr>
        <w:spacing w:before="30" w:after="55" w:line="268"/>
      </w:pPr>
      <w:r>
        <w:rPr>
          <w:b/>
          <w:bCs/>
          <w:sz w:val="20"/>
          <w:szCs w:val="20"/>
          <w:rFonts w:ascii="Nunito Sans" w:cs="Nunito Sans" w:eastAsia="Nunito Sans" w:hAnsi="Nunito Sans"/>
        </w:rPr>
        <w:t xml:space="preserve">New “Commitment (FY)” column </w:t>
      </w:r>
      <w:r>
        <w:rPr>
          <w:b w:val="false"/>
          <w:bCs w:val="false"/>
          <w:sz w:val="20"/>
          <w:szCs w:val="20"/>
          <w:rFonts w:ascii="Nunito Sans" w:cs="Nunito Sans" w:eastAsia="Nunito Sans" w:hAnsi="Nunito Sans"/>
        </w:rPr>
        <w:t xml:space="preserve">in the client table (between Payments and Upfront), a new Commitment tile, and a distinctive badge on commitment amounts.</w:t>
      </w:r>
    </w:p>
    <w:p>
      <w:pPr>
        <w:pStyle w:val="ListParagraph"/>
        <w:numPr>
          <w:ilvl w:val="0"/>
          <w:numId w:val="2"/>
        </w:numPr>
        <w:spacing w:before="30" w:after="55" w:line="268"/>
      </w:pPr>
      <w:r>
        <w:rPr>
          <w:b/>
          <w:bCs/>
          <w:sz w:val="20"/>
          <w:szCs w:val="20"/>
          <w:rFonts w:ascii="Nunito Sans" w:cs="Nunito Sans" w:eastAsia="Nunito Sans" w:hAnsi="Nunito Sans"/>
        </w:rPr>
        <w:t xml:space="preserve">Configurable commitment amounts </w:t>
      </w:r>
      <w:r>
        <w:rPr>
          <w:b w:val="false"/>
          <w:bCs w:val="false"/>
          <w:sz w:val="20"/>
          <w:szCs w:val="20"/>
          <w:rFonts w:ascii="Nunito Sans" w:cs="Nunito Sans" w:eastAsia="Nunito Sans" w:hAnsi="Nunito Sans"/>
        </w:rPr>
        <w:t xml:space="preserve">— default 554, 914, 1214 — shown as an editable setting above the tiles.</w:t>
      </w:r>
    </w:p>
    <w:p>
      <w:pPr>
        <w:pStyle w:val="Heading1"/>
        <w:spacing w:before="240" w:after="90"/>
      </w:pPr>
      <w:r>
        <w:rPr>
          <w:b/>
          <w:bCs/>
          <w:color w:val="0C2E3F"/>
          <w:sz w:val="28"/>
          <w:szCs w:val="28"/>
          <w:rFonts w:ascii="ABC Arizona Flare" w:cs="ABC Arizona Flare" w:eastAsia="ABC Arizona Flare" w:hAnsi="ABC Arizona Flare"/>
        </w:rPr>
        <w:t xml:space="preserve">2. What a Commitment Fee Looks Like in the Data</w:t>
      </w:r>
    </w:p>
    <w:p>
      <w:pPr>
        <w:spacing w:before="30" w:after="80" w:line="268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Nunito Sans" w:cs="Nunito Sans" w:eastAsia="Nunito Sans" w:hAnsi="Nunito Sans"/>
        </w:rPr>
        <w:t xml:space="preserve">A commitment fee is charged once, as the client’s FIRST ever payment, before regular ongoing fees start. It is entered in the payment system as an ongoing-type transaction (it usually HAS a recurring payment ID), so recurring-ID logic cannot identify it — only the amount and its position can.</w:t>
      </w:r>
    </w:p>
    <w:p>
      <w:pPr>
        <w:spacing w:before="30" w:after="80" w:line="268"/>
      </w:pPr>
      <w:r>
        <w:rPr>
          <w:b/>
          <w:bCs/>
          <w:i w:val="false"/>
          <w:iCs w:val="false"/>
          <w:color w:val="1a1a1a"/>
          <w:sz w:val="20"/>
          <w:szCs w:val="20"/>
          <w:rFonts w:ascii="Nunito Sans" w:cs="Nunito Sans" w:eastAsia="Nunito Sans" w:hAnsi="Nunito Sans"/>
        </w:rPr>
        <w:t xml:space="preserve">Real examples from the attached report: 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Nunito Sans" w:cs="Nunito Sans" w:eastAsia="Nunito Sans" w:hAnsi="Nunito Sans"/>
        </w:rPr>
        <w:t xml:space="preserve">Madeline T… — $554.00 (commitment, first payment), then $2,500.00 (upfront), then $139.67 recurring (ongoing). Lucas Saun… — $914.00 (commitment), $2,830.00 (upfront), then $162.50 recurring (ongoing).</w:t>
      </w:r>
    </w:p>
    <w:p>
      <w:pPr>
        <w:spacing w:before="30" w:after="80" w:line="268"/>
      </w:pPr>
      <w:r>
        <w:rPr>
          <w:b/>
          <w:bCs/>
          <w:i w:val="false"/>
          <w:iCs w:val="false"/>
          <w:color w:val="1a1a1a"/>
          <w:sz w:val="20"/>
          <w:szCs w:val="20"/>
          <w:rFonts w:ascii="Nunito Sans" w:cs="Nunito Sans" w:eastAsia="Nunito Sans" w:hAnsi="Nunito Sans"/>
        </w:rPr>
        <w:t xml:space="preserve">Verified against the full report (8,700 rows): 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Nunito Sans" w:cs="Nunito Sans" w:eastAsia="Nunito Sans" w:hAnsi="Nunito Sans"/>
        </w:rPr>
        <w:t xml:space="preserve">237 client groups contain a commitment-amount payment; for 234 of them (99%) it is the first-ever payment; 222 have exactly one; 163 of the 237 carry a recurring payment ID — so a recurring ID must NOT disqualify a payment from being a commitment fee.</w:t>
      </w:r>
    </w:p>
    <w:p>
      <w:pPr>
        <w:pStyle w:val="Heading1"/>
        <w:spacing w:before="240" w:after="90"/>
      </w:pPr>
      <w:r>
        <w:rPr>
          <w:b/>
          <w:bCs/>
          <w:color w:val="0C2E3F"/>
          <w:sz w:val="28"/>
          <w:szCs w:val="28"/>
          <w:rFonts w:ascii="ABC Arizona Flare" w:cs="ABC Arizona Flare" w:eastAsia="ABC Arizona Flare" w:hAnsi="ABC Arizona Flare"/>
        </w:rPr>
        <w:t xml:space="preserve">3. Classification Algorithm (Implement Exactly)</w:t>
      </w:r>
    </w:p>
    <w:p>
      <w:pPr>
        <w:spacing w:before="30" w:after="80" w:line="268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Nunito Sans" w:cs="Nunito Sans" w:eastAsia="Nunito Sans" w:hAnsi="Nunito Sans"/>
        </w:rPr>
        <w:t xml:space="preserve">Run classification over the WHOLE report (all dates, approved payments only), per client group, BEFORE any financial-year or adviser filtering. Then bucket the classified payments into FY and adviser views.</w:t>
      </w:r>
    </w:p>
    <w:tbl>
      <w:tblPr>
        <w:tblW w:type="dxa" w:w="9026"/>
        <w:tblBorders>
          <w:top w:val="single" w:color="D4E2EE" w:sz="4"/>
          <w:left w:val="single" w:color="D4E2EE" w:sz="4"/>
          <w:bottom w:val="single" w:color="D4E2EE" w:sz="4"/>
          <w:right w:val="single" w:color="D4E2EE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 w:line="240"/>
            </w:pPr>
            <w:r>
              <w:rPr>
                <w:color w:val="16242E"/>
                <w:sz w:val="17"/>
                <w:szCs w:val="17"/>
                <w:rFonts w:ascii="Consolas" w:cs="Consolas" w:eastAsia="Consolas" w:hAnsi="Consolas"/>
              </w:rPr>
              <w:t xml:space="preserve">COMMITMENT_AMOUNTS = [554.00, 914.00, 1214.00]   // editable setting, match to the cent</w:t>
            </w:r>
          </w:p>
          <w:p>
            <w:pPr>
              <w:spacing w:before="0" w:after="20" w:line="240"/>
            </w:pPr>
            <w:r>
              <w:rPr>
                <w:color w:val="16242E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before="0" w:after="20" w:line="240"/>
            </w:pPr>
            <w:r>
              <w:rPr>
                <w:color w:val="16242E"/>
                <w:sz w:val="17"/>
                <w:szCs w:val="17"/>
                <w:rFonts w:ascii="Consolas" w:cs="Consolas" w:eastAsia="Consolas" w:hAnsi="Consolas"/>
              </w:rPr>
              <w:t xml:space="preserve">for each clientGroup:</w:t>
            </w:r>
          </w:p>
          <w:p>
            <w:pPr>
              <w:spacing w:before="0" w:after="20" w:line="240"/>
            </w:pPr>
            <w:r>
              <w:rPr>
                <w:color w:val="16242E"/>
                <w:sz w:val="17"/>
                <w:szCs w:val="17"/>
                <w:rFonts w:ascii="Consolas" w:cs="Consolas" w:eastAsia="Consolas" w:hAnsi="Consolas"/>
              </w:rPr>
              <w:t xml:space="preserve">  txns = approved payments for the group, sorted by Transaction Time (whole report)</w:t>
            </w:r>
          </w:p>
          <w:p>
            <w:pPr>
              <w:spacing w:before="0" w:after="20" w:line="240"/>
            </w:pPr>
            <w:r>
              <w:rPr>
                <w:color w:val="16242E"/>
                <w:sz w:val="17"/>
                <w:szCs w:val="17"/>
                <w:rFonts w:ascii="Consolas" w:cs="Consolas" w:eastAsia="Consolas" w:hAnsi="Consolas"/>
              </w:rPr>
              <w:t xml:space="preserve">  // 1. COMMITMENT — at most ONE per client group, ever</w:t>
            </w:r>
          </w:p>
          <w:p>
            <w:pPr>
              <w:spacing w:before="0" w:after="20" w:line="240"/>
            </w:pPr>
            <w:r>
              <w:rPr>
                <w:color w:val="16242E"/>
                <w:sz w:val="17"/>
                <w:szCs w:val="17"/>
                <w:rFonts w:ascii="Consolas" w:cs="Consolas" w:eastAsia="Consolas" w:hAnsi="Consolas"/>
              </w:rPr>
              <w:t xml:space="preserve">  first = txns[0]</w:t>
            </w:r>
          </w:p>
          <w:p>
            <w:pPr>
              <w:spacing w:before="0" w:after="20" w:line="240"/>
            </w:pPr>
            <w:r>
              <w:rPr>
                <w:color w:val="16242E"/>
                <w:sz w:val="17"/>
                <w:szCs w:val="17"/>
                <w:rFonts w:ascii="Consolas" w:cs="Consolas" w:eastAsia="Consolas" w:hAnsi="Consolas"/>
              </w:rPr>
              <w:t xml:space="preserve">  if first.amount in COMMITMENT_AMOUNTS (±0.01):</w:t>
            </w:r>
          </w:p>
          <w:p>
            <w:pPr>
              <w:spacing w:before="0" w:after="20" w:line="240"/>
            </w:pPr>
            <w:r>
              <w:rPr>
                <w:color w:val="16242E"/>
                <w:sz w:val="17"/>
                <w:szCs w:val="17"/>
                <w:rFonts w:ascii="Consolas" w:cs="Consolas" w:eastAsia="Consolas" w:hAnsi="Consolas"/>
              </w:rPr>
              <w:t xml:space="preserve">      first.category = COMMITMENT</w:t>
            </w:r>
          </w:p>
          <w:p>
            <w:pPr>
              <w:spacing w:before="0" w:after="20" w:line="240"/>
            </w:pPr>
            <w:r>
              <w:rPr>
                <w:color w:val="16242E"/>
                <w:sz w:val="17"/>
                <w:szCs w:val="17"/>
                <w:rFonts w:ascii="Consolas" w:cs="Consolas" w:eastAsia="Consolas" w:hAnsi="Consolas"/>
              </w:rPr>
              <w:t xml:space="preserve">      // NOTE: do NOT require a missing recurring ID — 69% of real</w:t>
            </w:r>
          </w:p>
          <w:p>
            <w:pPr>
              <w:spacing w:before="0" w:after="20" w:line="240"/>
            </w:pPr>
            <w:r>
              <w:rPr>
                <w:color w:val="16242E"/>
                <w:sz w:val="17"/>
                <w:szCs w:val="17"/>
                <w:rFonts w:ascii="Consolas" w:cs="Consolas" w:eastAsia="Consolas" w:hAnsi="Consolas"/>
              </w:rPr>
              <w:t xml:space="preserve">      // commitment fees carry one. Amount + first-position is the test.</w:t>
            </w:r>
          </w:p>
          <w:p>
            <w:pPr>
              <w:spacing w:before="0" w:after="20" w:line="240"/>
            </w:pPr>
            <w:r>
              <w:rPr>
                <w:color w:val="16242E"/>
                <w:sz w:val="17"/>
                <w:szCs w:val="17"/>
                <w:rFonts w:ascii="Consolas" w:cs="Consolas" w:eastAsia="Consolas" w:hAnsi="Consolas"/>
              </w:rPr>
              <w:t xml:space="preserve">  // 2. UPFRONT / ONE-OFF — over the remaining payments</w:t>
            </w:r>
          </w:p>
          <w:p>
            <w:pPr>
              <w:spacing w:before="0" w:after="20" w:line="240"/>
            </w:pPr>
            <w:r>
              <w:rPr>
                <w:color w:val="16242E"/>
                <w:sz w:val="17"/>
                <w:szCs w:val="17"/>
                <w:rFonts w:ascii="Consolas" w:cs="Consolas" w:eastAsia="Consolas" w:hAnsi="Consolas"/>
              </w:rPr>
              <w:t xml:space="preserve">  base = mode (most common value) of remaining payments</w:t>
            </w:r>
          </w:p>
          <w:p>
            <w:pPr>
              <w:spacing w:before="0" w:after="20" w:line="240"/>
            </w:pPr>
            <w:r>
              <w:rPr>
                <w:color w:val="16242E"/>
                <w:sz w:val="17"/>
                <w:szCs w:val="17"/>
                <w:rFonts w:ascii="Consolas" w:cs="Consolas" w:eastAsia="Consolas" w:hAnsi="Consolas"/>
              </w:rPr>
              <w:t xml:space="preserve">  for tx in remaining:</w:t>
            </w:r>
          </w:p>
          <w:p>
            <w:pPr>
              <w:spacing w:before="0" w:after="20" w:line="240"/>
            </w:pPr>
            <w:r>
              <w:rPr>
                <w:color w:val="16242E"/>
                <w:sz w:val="17"/>
                <w:szCs w:val="17"/>
                <w:rFonts w:ascii="Consolas" w:cs="Consolas" w:eastAsia="Consolas" w:hAnsi="Consolas"/>
              </w:rPr>
              <w:t xml:space="preserve">      if tx has no recurring ID  OR  tx.amount &gt;= 3 × base:</w:t>
            </w:r>
          </w:p>
          <w:p>
            <w:pPr>
              <w:spacing w:before="0" w:after="20" w:line="240"/>
            </w:pPr>
            <w:r>
              <w:rPr>
                <w:color w:val="16242E"/>
                <w:sz w:val="17"/>
                <w:szCs w:val="17"/>
                <w:rFonts w:ascii="Consolas" w:cs="Consolas" w:eastAsia="Consolas" w:hAnsi="Consolas"/>
              </w:rPr>
              <w:t xml:space="preserve">          tx.category = UPFRONT</w:t>
            </w:r>
          </w:p>
          <w:p>
            <w:pPr>
              <w:spacing w:before="0" w:after="20" w:line="240"/>
            </w:pPr>
            <w:r>
              <w:rPr>
                <w:color w:val="16242E"/>
                <w:sz w:val="17"/>
                <w:szCs w:val="17"/>
                <w:rFonts w:ascii="Consolas" w:cs="Consolas" w:eastAsia="Consolas" w:hAnsi="Consolas"/>
              </w:rPr>
              <w:t xml:space="preserve">  // 3. ONGOING — everything else</w:t>
            </w:r>
          </w:p>
          <w:p>
            <w:pPr>
              <w:spacing w:before="0" w:after="20" w:line="240"/>
            </w:pPr>
            <w:r>
              <w:rPr>
                <w:color w:val="16242E"/>
                <w:sz w:val="17"/>
                <w:szCs w:val="17"/>
                <w:rFonts w:ascii="Consolas" w:cs="Consolas" w:eastAsia="Consolas" w:hAnsi="Consolas"/>
              </w:rPr>
              <w:t xml:space="preserve">  remaining uncategorised =&gt; ONGOING</w:t>
            </w:r>
          </w:p>
        </w:tc>
      </w:tr>
    </w:tbl>
    <w:p>
      <w:pPr>
        <w:spacing w:before="30" w:after="80" w:line="268"/>
      </w:pPr>
      <w:r>
        <w:rPr>
          <w:b/>
          <w:bCs/>
          <w:i w:val="false"/>
          <w:iCs w:val="false"/>
          <w:color w:val="1a1a1a"/>
          <w:sz w:val="20"/>
          <w:szCs w:val="20"/>
          <w:rFonts w:ascii="Nunito Sans" w:cs="Nunito Sans" w:eastAsia="Nunito Sans" w:hAnsi="Nunito Sans"/>
        </w:rPr>
        <w:t xml:space="preserve">Guards: 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Nunito Sans" w:cs="Nunito Sans" w:eastAsia="Nunito Sans" w:hAnsi="Nunito Sans"/>
        </w:rPr>
        <w:t xml:space="preserve">only the first-ever payment can be a commitment fee (if a later payment happens to equal $554 etc., it classifies through the normal upfront/ongoing rules); a client group never has more than one commitment fee; declined/voided payments are excluded before everything.</w:t>
      </w:r>
    </w:p>
    <w:p>
      <w:pPr>
        <w:pStyle w:val="Heading1"/>
        <w:spacing w:before="240" w:after="90"/>
      </w:pPr>
      <w:r>
        <w:rPr>
          <w:b/>
          <w:bCs/>
          <w:color w:val="0C2E3F"/>
          <w:sz w:val="28"/>
          <w:szCs w:val="28"/>
          <w:rFonts w:ascii="ABC Arizona Flare" w:cs="ABC Arizona Flare" w:eastAsia="ABC Arizona Flare" w:hAnsi="ABC Arizona Flare"/>
        </w:rPr>
        <w:t xml:space="preserve">4. Adviser-Aware Tiles</w:t>
      </w:r>
    </w:p>
    <w:p>
      <w:pPr>
        <w:pStyle w:val="ListParagraph"/>
        <w:numPr>
          <w:ilvl w:val="0"/>
          <w:numId w:val="2"/>
        </w:numPr>
        <w:spacing w:before="30" w:after="55" w:line="268"/>
      </w:pPr>
      <w:r>
        <w:rPr>
          <w:b w:val="false"/>
          <w:bCs w:val="false"/>
          <w:sz w:val="20"/>
          <w:szCs w:val="20"/>
          <w:rFonts w:ascii="Nunito Sans" w:cs="Nunito Sans" w:eastAsia="Nunito Sans" w:hAnsi="Nunito Sans"/>
        </w:rPr>
        <w:t xml:space="preserve">Compute all tiles from a single filtered transaction set: filteredTxns = classified payments → adviser filter → FY filter. When the adviser dropdown changes, recompute every tile from filteredTxns (not just the table).</w:t>
      </w:r>
    </w:p>
    <w:p>
      <w:pPr>
        <w:pStyle w:val="ListParagraph"/>
        <w:numPr>
          <w:ilvl w:val="0"/>
          <w:numId w:val="2"/>
        </w:numPr>
        <w:spacing w:before="30" w:after="55" w:line="268"/>
      </w:pPr>
      <w:r>
        <w:rPr>
          <w:b/>
          <w:bCs/>
          <w:sz w:val="20"/>
          <w:szCs w:val="20"/>
          <w:rFonts w:ascii="Nunito Sans" w:cs="Nunito Sans" w:eastAsia="Nunito Sans" w:hAnsi="Nunito Sans"/>
        </w:rPr>
        <w:t xml:space="preserve">Tiles, left to right: </w:t>
      </w:r>
      <w:r>
        <w:rPr>
          <w:b w:val="false"/>
          <w:bCs w:val="false"/>
          <w:sz w:val="20"/>
          <w:szCs w:val="20"/>
          <w:rFonts w:ascii="Nunito Sans" w:cs="Nunito Sans" w:eastAsia="Nunito Sans" w:hAnsi="Nunito Sans"/>
        </w:rPr>
        <w:t xml:space="preserve">Total in FY (scoped) · Commitment fees (FY) · Upfront/one-off (FY) · Ongoing fees (FY) · Client groups with FY payments · Median per client group. The first four must satisfy: Total = Commitment + Upfront + Ongoing (assert this in code).</w:t>
      </w:r>
    </w:p>
    <w:p>
      <w:pPr>
        <w:pStyle w:val="ListParagraph"/>
        <w:numPr>
          <w:ilvl w:val="0"/>
          <w:numId w:val="2"/>
        </w:numPr>
        <w:spacing w:before="30" w:after="55" w:line="268"/>
      </w:pPr>
      <w:r>
        <w:rPr>
          <w:b w:val="false"/>
          <w:bCs w:val="false"/>
          <w:sz w:val="20"/>
          <w:szCs w:val="20"/>
          <w:rFonts w:ascii="Nunito Sans" w:cs="Nunito Sans" w:eastAsia="Nunito Sans" w:hAnsi="Nunito Sans"/>
        </w:rPr>
        <w:t xml:space="preserve">Add a scope chip above the tiles: “Scope: All advisers (16)” or “Scope: Ben Budge”, so it is always obvious what the figures cover.</w:t>
      </w:r>
    </w:p>
    <w:p>
      <w:pPr>
        <w:pStyle w:val="ListParagraph"/>
        <w:numPr>
          <w:ilvl w:val="0"/>
          <w:numId w:val="2"/>
        </w:numPr>
        <w:spacing w:before="30" w:after="55" w:line="268"/>
      </w:pPr>
      <w:r>
        <w:rPr>
          <w:b w:val="false"/>
          <w:bCs w:val="false"/>
          <w:sz w:val="20"/>
          <w:szCs w:val="20"/>
          <w:rFonts w:ascii="Nunito Sans" w:cs="Nunito Sans" w:eastAsia="Nunito Sans" w:hAnsi="Nunito Sans"/>
        </w:rPr>
        <w:t xml:space="preserve">Rename the old “Report total (all dates)” tile out of the tile row or drop it — every visible figure should respect the adviser scope to avoid mixed-scope confusion.</w:t>
      </w:r>
    </w:p>
    <w:p>
      <w:pPr>
        <w:pStyle w:val="Heading1"/>
        <w:spacing w:before="240" w:after="90"/>
      </w:pPr>
      <w:r>
        <w:rPr>
          <w:b/>
          <w:bCs/>
          <w:color w:val="0C2E3F"/>
          <w:sz w:val="28"/>
          <w:szCs w:val="28"/>
          <w:rFonts w:ascii="ABC Arizona Flare" w:cs="ABC Arizona Flare" w:eastAsia="ABC Arizona Flare" w:hAnsi="ABC Arizona Flare"/>
        </w:rPr>
        <w:t xml:space="preserve">5. Client Table</w:t>
      </w:r>
    </w:p>
    <w:p>
      <w:pPr>
        <w:pStyle w:val="ListParagraph"/>
        <w:numPr>
          <w:ilvl w:val="0"/>
          <w:numId w:val="2"/>
        </w:numPr>
        <w:spacing w:before="30" w:after="55" w:line="268"/>
      </w:pPr>
      <w:r>
        <w:rPr>
          <w:b w:val="false"/>
          <w:bCs w:val="false"/>
          <w:sz w:val="20"/>
          <w:szCs w:val="20"/>
          <w:rFonts w:ascii="Nunito Sans" w:cs="Nunito Sans" w:eastAsia="Nunito Sans" w:hAnsi="Nunito Sans"/>
        </w:rPr>
        <w:t xml:space="preserve">Insert a “Commitment (FY)” column between Payments and “Upfront / one-off (FY)”. Show the amount in a teal badge; an em-dash when none.</w:t>
      </w:r>
    </w:p>
    <w:p>
      <w:pPr>
        <w:pStyle w:val="ListParagraph"/>
        <w:numPr>
          <w:ilvl w:val="0"/>
          <w:numId w:val="2"/>
        </w:numPr>
        <w:spacing w:before="30" w:after="55" w:line="268"/>
      </w:pPr>
      <w:r>
        <w:rPr>
          <w:b w:val="false"/>
          <w:bCs w:val="false"/>
          <w:sz w:val="20"/>
          <w:szCs w:val="20"/>
          <w:rFonts w:ascii="Nunito Sans" w:cs="Nunito Sans" w:eastAsia="Nunito Sans" w:hAnsi="Nunito Sans"/>
        </w:rPr>
        <w:t xml:space="preserve">“Upfront / one-off (FY)” EXCLUDES the commitment fee. “Total for FY” = Commitment + Upfront + Ongoing for that group.</w:t>
      </w:r>
    </w:p>
    <w:p>
      <w:pPr>
        <w:pStyle w:val="ListParagraph"/>
        <w:numPr>
          <w:ilvl w:val="0"/>
          <w:numId w:val="2"/>
        </w:numPr>
        <w:spacing w:before="30" w:after="55" w:line="268"/>
      </w:pPr>
      <w:r>
        <w:rPr>
          <w:b w:val="false"/>
          <w:bCs w:val="false"/>
          <w:sz w:val="20"/>
          <w:szCs w:val="20"/>
          <w:rFonts w:ascii="Nunito Sans" w:cs="Nunito Sans" w:eastAsia="Nunito Sans" w:hAnsi="Nunito Sans"/>
        </w:rPr>
        <w:t xml:space="preserve">Keep the existing flags (⚠ on single payments ≥ $5,000, and the more-than-12-recurring-payments flag) — a commitment fee never triggers either.</w:t>
      </w:r>
    </w:p>
    <w:p>
      <w:pPr>
        <w:pStyle w:val="ListParagraph"/>
        <w:numPr>
          <w:ilvl w:val="0"/>
          <w:numId w:val="2"/>
        </w:numPr>
        <w:spacing w:before="30" w:after="55" w:line="268"/>
      </w:pPr>
      <w:r>
        <w:rPr>
          <w:b w:val="false"/>
          <w:bCs w:val="false"/>
          <w:sz w:val="20"/>
          <w:szCs w:val="20"/>
          <w:rFonts w:ascii="Nunito Sans" w:cs="Nunito Sans" w:eastAsia="Nunito Sans" w:hAnsi="Nunito Sans"/>
        </w:rPr>
        <w:t xml:space="preserve">Draft invoice prefill: Upfront/Retainer amount = Commitment + Upfront for the FY (shown as two figures in the prefill note so the adviser can split or exclude); Ongoing amount = Ongoing for the FY.</w:t>
      </w:r>
    </w:p>
    <w:p>
      <w:pPr>
        <w:pStyle w:val="Heading1"/>
        <w:spacing w:before="240" w:after="90"/>
      </w:pPr>
      <w:r>
        <w:rPr>
          <w:b/>
          <w:bCs/>
          <w:color w:val="0C2E3F"/>
          <w:sz w:val="28"/>
          <w:szCs w:val="28"/>
          <w:rFonts w:ascii="ABC Arizona Flare" w:cs="ABC Arizona Flare" w:eastAsia="ABC Arizona Flare" w:hAnsi="ABC Arizona Flare"/>
        </w:rPr>
        <w:t xml:space="preserve">6. Mock-ups</w:t>
      </w:r>
    </w:p>
    <w:p>
      <w:pPr>
        <w:pStyle w:val="Heading2"/>
        <w:spacing w:before="170" w:after="70"/>
      </w:pPr>
      <w:r>
        <w:rPr>
          <w:b/>
          <w:bCs/>
          <w:color w:val="2B6FD6"/>
          <w:sz w:val="23"/>
          <w:szCs w:val="23"/>
          <w:rFonts w:ascii="ABC Arizona Flare" w:cs="ABC Arizona Flare" w:eastAsia="ABC Arizona Flare" w:hAnsi="ABC Arizona Flare"/>
        </w:rPr>
        <w:t xml:space="preserve">State A — “All advisers” selected</w:t>
      </w:r>
    </w:p>
    <w:p>
      <w:pPr>
        <w:spacing w:before="30" w:after="80" w:line="268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Nunito Sans" w:cs="Nunito Sans" w:eastAsia="Nunito Sans" w:hAnsi="Nunito Sans"/>
        </w:rPr>
        <w:t xml:space="preserve">All tiles show whole-report figures. Note the editable commitment-amounts setting, the commitment tile, and the badge in the new column.</w:t>
      </w:r>
    </w:p>
    <w:p>
      <w:pPr>
        <w:spacing w:before="60" w:after="120"/>
      </w:pPr>
      <w:r>
        <w:drawing>
          <wp:inline distT="0" distB="0" distL="0" distR="0">
            <wp:extent cx="62865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170" w:after="70"/>
      </w:pPr>
      <w:r>
        <w:rPr>
          <w:b/>
          <w:bCs/>
          <w:color w:val="2B6FD6"/>
          <w:sz w:val="23"/>
          <w:szCs w:val="23"/>
          <w:rFonts w:ascii="ABC Arizona Flare" w:cs="ABC Arizona Flare" w:eastAsia="ABC Arizona Flare" w:hAnsi="ABC Arizona Flare"/>
        </w:rPr>
        <w:t xml:space="preserve">State B — a single adviser selected</w:t>
      </w:r>
    </w:p>
    <w:p>
      <w:pPr>
        <w:spacing w:before="30" w:after="80" w:line="268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Nunito Sans" w:cs="Nunito Sans" w:eastAsia="Nunito Sans" w:hAnsi="Nunito Sans"/>
        </w:rPr>
        <w:t xml:space="preserve">Identical layout — every figure recomputed for the selected adviser only, with the scope chip making that explicit.</w:t>
      </w:r>
    </w:p>
    <w:p>
      <w:pPr>
        <w:spacing w:before="60" w:after="120"/>
      </w:pPr>
      <w:r>
        <w:drawing>
          <wp:inline distT="0" distB="0" distL="0" distR="0">
            <wp:extent cx="6286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240" w:after="90"/>
      </w:pPr>
      <w:r>
        <w:rPr>
          <w:b/>
          <w:bCs/>
          <w:color w:val="0C2E3F"/>
          <w:sz w:val="28"/>
          <w:szCs w:val="28"/>
          <w:rFonts w:ascii="ABC Arizona Flare" w:cs="ABC Arizona Flare" w:eastAsia="ABC Arizona Flare" w:hAnsi="ABC Arizona Flare"/>
        </w:rPr>
        <w:t xml:space="preserve">7. Acceptance Tests (run against the attached report)</w:t>
      </w:r>
    </w:p>
    <w:p>
      <w:pPr>
        <w:pStyle w:val="ListParagraph"/>
        <w:numPr>
          <w:ilvl w:val="0"/>
          <w:numId w:val="2"/>
        </w:numPr>
        <w:spacing w:before="30" w:after="55" w:line="268"/>
      </w:pPr>
      <w:r>
        <w:rPr>
          <w:b/>
          <w:bCs/>
          <w:sz w:val="20"/>
          <w:szCs w:val="20"/>
          <w:rFonts w:ascii="Nunito Sans" w:cs="Nunito Sans" w:eastAsia="Nunito Sans" w:hAnsi="Nunito Sans"/>
        </w:rPr>
        <w:t xml:space="preserve">Madeline T… (ending in 271): </w:t>
      </w:r>
      <w:r>
        <w:rPr>
          <w:b w:val="false"/>
          <w:bCs w:val="false"/>
          <w:sz w:val="20"/>
          <w:szCs w:val="20"/>
          <w:rFonts w:ascii="Nunito Sans" w:cs="Nunito Sans" w:eastAsia="Nunito Sans" w:hAnsi="Nunito Sans"/>
        </w:rPr>
        <w:t xml:space="preserve">Commitment $554.00, Upfront $2,500.00, Ongoing = the $139.67 recurring payments. The $554 must NOT appear in ongoing.</w:t>
      </w:r>
    </w:p>
    <w:p>
      <w:pPr>
        <w:pStyle w:val="ListParagraph"/>
        <w:numPr>
          <w:ilvl w:val="0"/>
          <w:numId w:val="2"/>
        </w:numPr>
        <w:spacing w:before="30" w:after="55" w:line="268"/>
      </w:pPr>
      <w:r>
        <w:rPr>
          <w:b/>
          <w:bCs/>
          <w:sz w:val="20"/>
          <w:szCs w:val="20"/>
          <w:rFonts w:ascii="Nunito Sans" w:cs="Nunito Sans" w:eastAsia="Nunito Sans" w:hAnsi="Nunito Sans"/>
        </w:rPr>
        <w:t xml:space="preserve">Lucas Saun… (ending in 042): </w:t>
      </w:r>
      <w:r>
        <w:rPr>
          <w:b w:val="false"/>
          <w:bCs w:val="false"/>
          <w:sz w:val="20"/>
          <w:szCs w:val="20"/>
          <w:rFonts w:ascii="Nunito Sans" w:cs="Nunito Sans" w:eastAsia="Nunito Sans" w:hAnsi="Nunito Sans"/>
        </w:rPr>
        <w:t xml:space="preserve">Commitment $914.00, Upfront $2,830.00; the $162.50 recurring payments belong to the separate “Lucas &amp; Re… (ending in 827)” payment method — group by Client Name, not payment method.</w:t>
      </w:r>
    </w:p>
    <w:p>
      <w:pPr>
        <w:pStyle w:val="ListParagraph"/>
        <w:numPr>
          <w:ilvl w:val="0"/>
          <w:numId w:val="2"/>
        </w:numPr>
        <w:spacing w:before="30" w:after="55" w:line="268"/>
      </w:pPr>
      <w:r>
        <w:rPr>
          <w:b/>
          <w:bCs/>
          <w:sz w:val="20"/>
          <w:szCs w:val="20"/>
          <w:rFonts w:ascii="Nunito Sans" w:cs="Nunito Sans" w:eastAsia="Nunito Sans" w:hAnsi="Nunito Sans"/>
        </w:rPr>
        <w:t xml:space="preserve">Dataset totals: </w:t>
      </w:r>
      <w:r>
        <w:rPr>
          <w:b w:val="false"/>
          <w:bCs w:val="false"/>
          <w:sz w:val="20"/>
          <w:szCs w:val="20"/>
          <w:rFonts w:ascii="Nunito Sans" w:cs="Nunito Sans" w:eastAsia="Nunito Sans" w:hAnsi="Nunito Sans"/>
        </w:rPr>
        <w:t xml:space="preserve">the report contains 136 payments of $554, 73 of $914 and 47 of $1,214; ~237 client groups should show a commitment fee, and ~99% of those are the group’s first-ever payment.</w:t>
      </w:r>
    </w:p>
    <w:p>
      <w:pPr>
        <w:pStyle w:val="ListParagraph"/>
        <w:numPr>
          <w:ilvl w:val="0"/>
          <w:numId w:val="2"/>
        </w:numPr>
        <w:spacing w:before="30" w:after="55" w:line="268"/>
      </w:pPr>
      <w:r>
        <w:rPr>
          <w:b w:val="false"/>
          <w:bCs w:val="false"/>
          <w:sz w:val="20"/>
          <w:szCs w:val="20"/>
          <w:rFonts w:ascii="Nunito Sans" w:cs="Nunito Sans" w:eastAsia="Nunito Sans" w:hAnsi="Nunito Sans"/>
        </w:rPr>
        <w:t xml:space="preserve">Toggle the adviser filter between “All advisers” and any single adviser: every tile must change; Commitment + Upfront + Ongoing must equal the Total tile in both states.</w:t>
      </w:r>
    </w:p>
    <w:p>
      <w:pPr>
        <w:pStyle w:val="ListParagraph"/>
        <w:numPr>
          <w:ilvl w:val="0"/>
          <w:numId w:val="2"/>
        </w:numPr>
        <w:spacing w:before="30" w:after="55" w:line="268"/>
      </w:pPr>
      <w:r>
        <w:rPr>
          <w:b w:val="false"/>
          <w:bCs w:val="false"/>
          <w:sz w:val="20"/>
          <w:szCs w:val="20"/>
          <w:rFonts w:ascii="Nunito Sans" w:cs="Nunito Sans" w:eastAsia="Nunito Sans" w:hAnsi="Nunito Sans"/>
        </w:rPr>
        <w:t xml:space="preserve">A client whose first payment carries a recurring ID AND equals $554/$914/$1,214 must still classify as commitment.</w:t>
      </w:r>
    </w:p>
    <w:p>
      <w:pPr>
        <w:pStyle w:val="ListParagraph"/>
        <w:numPr>
          <w:ilvl w:val="0"/>
          <w:numId w:val="2"/>
        </w:numPr>
        <w:spacing w:before="30" w:after="55" w:line="268"/>
      </w:pPr>
      <w:r>
        <w:rPr>
          <w:b w:val="false"/>
          <w:bCs w:val="false"/>
          <w:sz w:val="20"/>
          <w:szCs w:val="20"/>
          <w:rFonts w:ascii="Nunito Sans" w:cs="Nunito Sans" w:eastAsia="Nunito Sans" w:hAnsi="Nunito Sans"/>
        </w:rPr>
        <w:t xml:space="preserve">A $554 payment that is NOT the client’s first-ever payment must NOT classify as commitment.</w:t>
      </w:r>
    </w:p>
    <w:p>
      <w:pPr>
        <w:spacing w:before="140" w:after="80" w:line="268"/>
      </w:pPr>
      <w:r>
        <w:rPr>
          <w:b w:val="false"/>
          <w:bCs w:val="false"/>
          <w:i/>
          <w:iCs/>
          <w:color w:val="5a6b76"/>
          <w:sz w:val="18"/>
          <w:szCs w:val="18"/>
          <w:rFonts w:ascii="Nunito Sans" w:cs="Nunito Sans" w:eastAsia="Nunito Sans" w:hAnsi="Nunito Sans"/>
        </w:rPr>
        <w:t xml:space="preserve">Internal specification for MWS. Amounts shown in the mock-ups are illustrative.</w:t>
      </w:r>
    </w:p>
    <w:sectPr>
      <w:pgSz w:w="11906" w:h="16838" w:orient="portrait"/>
      <w:pgMar w:top="1000" w:right="1250" w:bottom="10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Nunito Sans" w:cs="Nunito Sans" w:eastAsia="Nunito Sans" w:hAnsi="Nunito San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dmismupd9oqiub15tll5.png"/><Relationship Id="rId7" Type="http://schemas.openxmlformats.org/officeDocument/2006/relationships/image" Target="media/pb-cmhygnt3fl3tbw6ars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2026-08-03T07:46:01.221Z</dcterms:created>
  <dcterms:modified xsi:type="dcterms:W3CDTF">2026-08-03T07:46:01.221Z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