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 w:after="30"/>
      </w:pPr>
      <w:r>
        <w:rPr>
          <w:b/>
          <w:bCs/>
          <w:color w:val="2B6FD6"/>
          <w:sz w:val="21"/>
          <w:szCs w:val="21"/>
          <w:rFonts w:ascii="ABC Arizona Flare" w:cs="ABC Arizona Flare" w:eastAsia="ABC Arizona Flare" w:hAnsi="ABC Arizona Flare"/>
        </w:rPr>
        <w:t xml:space="preserve">My Wealth Solutions</w:t>
      </w:r>
    </w:p>
    <w:p>
      <w:pPr>
        <w:spacing w:before="0" w:after="50"/>
      </w:pPr>
      <w:r>
        <w:rPr>
          <w:b/>
          <w:bCs/>
          <w:color w:val="0C2E3F"/>
          <w:sz w:val="40"/>
          <w:szCs w:val="40"/>
          <w:rFonts w:ascii="ABC Arizona Flare" w:cs="ABC Arizona Flare" w:eastAsia="ABC Arizona Flare" w:hAnsi="ABC Arizona Flare"/>
        </w:rPr>
        <w:t xml:space="preserve">Fee Apportioning Rules — Tool Specification</w:t>
      </w:r>
    </w:p>
    <w:p>
      <w:pPr>
        <w:pBdr>
          <w:bottom w:val="single" w:color="2B6FD6" w:sz="8" w:space="6"/>
        </w:pBdr>
        <w:spacing w:before="0" w:after="110"/>
      </w:pPr>
      <w:r>
        <w:rPr>
          <w:b/>
          <w:bCs/>
          <w:color w:val="2B6FD6"/>
          <w:sz w:val="24"/>
          <w:szCs w:val="24"/>
          <w:rFonts w:ascii="ABC Arizona Flare" w:cs="ABC Arizona Flare" w:eastAsia="ABC Arizona Flare" w:hAnsi="ABC Arizona Flare"/>
        </w:rPr>
        <w:t xml:space="preserve">Exemplar-aligned strategy list for the Cashflow Tax Invoice Generator</w:t>
      </w:r>
    </w:p>
    <w:p>
      <w:pPr>
        <w:spacing w:before="30" w:after="70" w:line="266"/>
      </w:pPr>
      <w:r>
        <w:rPr>
          <w:b/>
          <w:bCs/>
          <w:i w:val="false"/>
          <w:iCs w:val="false"/>
          <w:color w:val="5a6b76"/>
          <w:sz w:val="19"/>
          <w:szCs w:val="19"/>
          <w:rFonts w:ascii="Nunito Sans" w:cs="Nunito Sans" w:eastAsia="Nunito Sans" w:hAnsi="Nunito Sans"/>
        </w:rPr>
        <w:t xml:space="preserve">Purpose: </w:t>
      </w:r>
      <w:r>
        <w:rPr>
          <w:b w:val="false"/>
          <w:bCs w:val="false"/>
          <w:i w:val="false"/>
          <w:iCs w:val="false"/>
          <w:color w:val="5a6b76"/>
          <w:sz w:val="19"/>
          <w:szCs w:val="19"/>
          <w:rFonts w:ascii="Nunito Sans" w:cs="Nunito Sans" w:eastAsia="Nunito Sans" w:hAnsi="Nunito Sans"/>
        </w:rPr>
        <w:t xml:space="preserve">hand-over specification for a developer updating the tax invoice tool. It contains every strategy row with its weighting guide, deductible guide, deduction section, default invoice wording and adviser guidance, aligned to the licensee exemplars (examples 5.3.4 / 5.3.5 and the strategy-basis exemplar invoices) and TD 2024/7 / s8-1 &amp; s25-5 ITAA 1997.</w:t>
      </w:r>
    </w:p>
    <w:p>
      <w:pPr>
        <w:pStyle w:val="Heading1"/>
        <w:spacing w:before="240" w:after="90"/>
      </w:pPr>
      <w:r>
        <w:rPr>
          <w:b/>
          <w:bCs/>
          <w:color w:val="0C2E3F"/>
          <w:sz w:val="28"/>
          <w:szCs w:val="28"/>
          <w:rFonts w:ascii="ABC Arizona Flare" w:cs="ABC Arizona Flare" w:eastAsia="ABC Arizona Flare" w:hAnsi="ABC Arizona Flare"/>
        </w:rPr>
        <w:t xml:space="preserve">Implementation Rules</w:t>
      </w:r>
    </w:p>
    <w:p>
      <w:pPr>
        <w:pStyle w:val="ListParagraph"/>
        <w:numPr>
          <w:ilvl w:val="0"/>
          <w:numId w:val="2"/>
        </w:numPr>
        <w:spacing w:before="15" w:after="35" w:line="266"/>
      </w:pPr>
      <w:r>
        <w:rPr>
          <w:b/>
          <w:bCs/>
          <w:sz w:val="20"/>
          <w:szCs w:val="20"/>
          <w:rFonts w:ascii="Nunito Sans" w:cs="Nunito Sans" w:eastAsia="Nunito Sans" w:hAnsi="Nunito Sans"/>
        </w:rPr>
        <w:t xml:space="preserve">Weighting: </w:t>
      </w:r>
      <w:r>
        <w:rPr>
          <w:b w:val="false"/>
          <w:bCs w:val="false"/>
          <w:sz w:val="20"/>
          <w:szCs w:val="20"/>
          <w:rFonts w:ascii="Nunito Sans" w:cs="Nunito Sans" w:eastAsia="Nunito Sans" w:hAnsi="Nunito Sans"/>
        </w:rPr>
        <w:t xml:space="preserve">each strategy has a weighting guide (wLo–wHi %). The default weighting when a strategy is added is the midpoint of the guide. Weightings on one invoice must total no more than 100%.</w:t>
      </w:r>
    </w:p>
    <w:p>
      <w:pPr>
        <w:pStyle w:val="ListParagraph"/>
        <w:numPr>
          <w:ilvl w:val="0"/>
          <w:numId w:val="2"/>
        </w:numPr>
        <w:spacing w:before="15" w:after="35" w:line="266"/>
      </w:pPr>
      <w:r>
        <w:rPr>
          <w:b/>
          <w:bCs/>
          <w:sz w:val="20"/>
          <w:szCs w:val="20"/>
          <w:rFonts w:ascii="Nunito Sans" w:cs="Nunito Sans" w:eastAsia="Nunito Sans" w:hAnsi="Nunito Sans"/>
        </w:rPr>
        <w:t xml:space="preserve">Deductible %: </w:t>
      </w:r>
      <w:r>
        <w:rPr>
          <w:b w:val="false"/>
          <w:bCs w:val="false"/>
          <w:sz w:val="20"/>
          <w:szCs w:val="20"/>
          <w:rFonts w:ascii="Nunito Sans" w:cs="Nunito Sans" w:eastAsia="Nunito Sans" w:hAnsi="Nunito Sans"/>
        </w:rPr>
        <w:t xml:space="preserve">each strategy has a deductible guide (dLo–dHi %). The default is the LOW end (conservative floor). Quick-set presets are the low end, midpoint and high end of the guide (e.g. a 70–100% guide gives presets 70 / 85 / 100). Values outside the guide are flagged (amber), not blocked.</w:t>
      </w:r>
    </w:p>
    <w:p>
      <w:pPr>
        <w:pStyle w:val="ListParagraph"/>
        <w:numPr>
          <w:ilvl w:val="0"/>
          <w:numId w:val="2"/>
        </w:numPr>
        <w:spacing w:before="15" w:after="35" w:line="266"/>
      </w:pPr>
      <w:r>
        <w:rPr>
          <w:b/>
          <w:bCs/>
          <w:sz w:val="20"/>
          <w:szCs w:val="20"/>
          <w:rFonts w:ascii="Nunito Sans" w:cs="Nunito Sans" w:eastAsia="Nunito Sans" w:hAnsi="Nunito Sans"/>
        </w:rPr>
        <w:t xml:space="preserve">Deduction section: </w:t>
      </w:r>
      <w:r>
        <w:rPr>
          <w:b w:val="false"/>
          <w:bCs w:val="false"/>
          <w:sz w:val="20"/>
          <w:szCs w:val="20"/>
          <w:rFonts w:ascii="Nunito Sans" w:cs="Nunito Sans" w:eastAsia="Nunito Sans" w:hAnsi="Nunito Sans"/>
        </w:rPr>
        <w:t xml:space="preserve">one of s8-1, s25-5, "s25-5 &amp; s8-1", or Non-Deductible. Non-deductible strategies always calculate $0 regardless of any percentage.</w:t>
      </w:r>
    </w:p>
    <w:p>
      <w:pPr>
        <w:pStyle w:val="ListParagraph"/>
        <w:numPr>
          <w:ilvl w:val="0"/>
          <w:numId w:val="2"/>
        </w:numPr>
        <w:spacing w:before="15" w:after="35" w:line="266"/>
      </w:pPr>
      <w:r>
        <w:rPr>
          <w:b/>
          <w:bCs/>
          <w:sz w:val="20"/>
          <w:szCs w:val="20"/>
          <w:rFonts w:ascii="Nunito Sans" w:cs="Nunito Sans" w:eastAsia="Nunito Sans" w:hAnsi="Nunito Sans"/>
        </w:rPr>
        <w:t xml:space="preserve">Deductible amount: </w:t>
      </w:r>
      <w:r>
        <w:rPr>
          <w:b w:val="false"/>
          <w:bCs w:val="false"/>
          <w:sz w:val="20"/>
          <w:szCs w:val="20"/>
          <w:rFonts w:ascii="Nunito Sans" w:cs="Nunito Sans" w:eastAsia="Nunito Sans" w:hAnsi="Nunito Sans"/>
        </w:rPr>
        <w:t xml:space="preserve">fee × weighting% × deductible% per strategy; the invoice itemises each strategy with its weighting, proportion deductible, section and the "summary of why tax related" wording.</w:t>
      </w:r>
    </w:p>
    <w:p>
      <w:pPr>
        <w:pStyle w:val="ListParagraph"/>
        <w:numPr>
          <w:ilvl w:val="0"/>
          <w:numId w:val="2"/>
        </w:numPr>
        <w:spacing w:before="15" w:after="35" w:line="266"/>
      </w:pPr>
      <w:r>
        <w:rPr>
          <w:b/>
          <w:bCs/>
          <w:sz w:val="20"/>
          <w:szCs w:val="20"/>
          <w:rFonts w:ascii="Nunito Sans" w:cs="Nunito Sans" w:eastAsia="Nunito Sans" w:hAnsi="Nunito Sans"/>
        </w:rPr>
        <w:t xml:space="preserve">Default invoice wording: </w:t>
      </w:r>
      <w:r>
        <w:rPr>
          <w:b w:val="false"/>
          <w:bCs w:val="false"/>
          <w:sz w:val="20"/>
          <w:szCs w:val="20"/>
          <w:rFonts w:ascii="Nunito Sans" w:cs="Nunito Sans" w:eastAsia="Nunito Sans" w:hAnsi="Nunito Sans"/>
        </w:rPr>
        <w:t xml:space="preserve">each strategy pre-fills the "summary of why tax related" phrase listed below; the adviser can override it.</w:t>
      </w:r>
    </w:p>
    <w:p>
      <w:pPr>
        <w:pStyle w:val="ListParagraph"/>
        <w:numPr>
          <w:ilvl w:val="0"/>
          <w:numId w:val="2"/>
        </w:numPr>
        <w:spacing w:before="15" w:after="35" w:line="266"/>
      </w:pPr>
      <w:r>
        <w:rPr>
          <w:b/>
          <w:bCs/>
          <w:sz w:val="20"/>
          <w:szCs w:val="20"/>
          <w:rFonts w:ascii="Nunito Sans" w:cs="Nunito Sans" w:eastAsia="Nunito Sans" w:hAnsi="Nunito Sans"/>
        </w:rPr>
        <w:t xml:space="preserve">No QTRP warning: </w:t>
      </w:r>
      <w:r>
        <w:rPr>
          <w:b w:val="false"/>
          <w:bCs w:val="false"/>
          <w:sz w:val="20"/>
          <w:szCs w:val="20"/>
          <w:rFonts w:ascii="Nunito Sans" w:cs="Nunito Sans" w:eastAsia="Nunito Sans" w:hAnsi="Nunito Sans"/>
        </w:rPr>
        <w:t xml:space="preserve">the tool does not show a QTRP/recognised-tax-adviser warning on s25-5 strategies. A factual note about s25-5 requiring a registered tax agent or QTRP stays in the reference/guide text only.</w:t>
      </w:r>
    </w:p>
    <w:p>
      <w:pPr>
        <w:pStyle w:val="ListParagraph"/>
        <w:numPr>
          <w:ilvl w:val="0"/>
          <w:numId w:val="2"/>
        </w:numPr>
        <w:spacing w:before="15" w:after="35" w:line="266"/>
      </w:pPr>
      <w:r>
        <w:rPr>
          <w:b/>
          <w:bCs/>
          <w:sz w:val="20"/>
          <w:szCs w:val="20"/>
          <w:rFonts w:ascii="Nunito Sans" w:cs="Nunito Sans" w:eastAsia="Nunito Sans" w:hAnsi="Nunito Sans"/>
        </w:rPr>
        <w:t xml:space="preserve">Retainer vs ongoing: </w:t>
      </w:r>
      <w:r>
        <w:rPr>
          <w:b w:val="false"/>
          <w:bCs w:val="false"/>
          <w:sz w:val="20"/>
          <w:szCs w:val="20"/>
          <w:rFonts w:ascii="Nunito Sans" w:cs="Nunito Sans" w:eastAsia="Nunito Sans" w:hAnsi="Nunito Sans"/>
        </w:rPr>
        <w:t xml:space="preserve">retainer (upfront) and ongoing fees are always two separate invoices, each with its own strategy list and invoice number — never merged.</w:t>
      </w:r>
    </w:p>
    <w:p>
      <w:pPr>
        <w:pStyle w:val="ListParagraph"/>
        <w:numPr>
          <w:ilvl w:val="0"/>
          <w:numId w:val="2"/>
        </w:numPr>
        <w:spacing w:before="15" w:after="35" w:line="266"/>
      </w:pPr>
      <w:r>
        <w:rPr>
          <w:b/>
          <w:bCs/>
          <w:sz w:val="20"/>
          <w:szCs w:val="20"/>
          <w:rFonts w:ascii="Nunito Sans" w:cs="Nunito Sans" w:eastAsia="Nunito Sans" w:hAnsi="Nunito Sans"/>
        </w:rPr>
        <w:t xml:space="preserve">Excluded rows: </w:t>
      </w:r>
      <w:r>
        <w:rPr>
          <w:b w:val="false"/>
          <w:bCs w:val="false"/>
          <w:sz w:val="20"/>
          <w:szCs w:val="20"/>
          <w:rFonts w:ascii="Nunito Sans" w:cs="Nunito Sans" w:eastAsia="Nunito Sans" w:hAnsi="Nunito Sans"/>
        </w:rPr>
        <w:t xml:space="preserve">no "Product switches" row and no "Recurring investment" row.</w:t>
      </w:r>
    </w:p>
    <w:p>
      <w:pPr>
        <w:pStyle w:val="Heading1"/>
        <w:spacing w:before="240" w:after="90"/>
      </w:pPr>
      <w:r>
        <w:rPr>
          <w:b/>
          <w:bCs/>
          <w:color w:val="0C2E3F"/>
          <w:sz w:val="28"/>
          <w:szCs w:val="28"/>
          <w:rFonts w:ascii="ABC Arizona Flare" w:cs="ABC Arizona Flare" w:eastAsia="ABC Arizona Flare" w:hAnsi="ABC Arizona Flare"/>
        </w:rPr>
        <w:t xml:space="preserve">Summary — All Strategies</w:t>
      </w:r>
    </w:p>
    <w:p>
      <w:pPr>
        <w:spacing w:before="30" w:after="70" w:line="266"/>
      </w:pPr>
      <w:r>
        <w:rPr>
          <w:b/>
          <w:bCs/>
          <w:i w:val="false"/>
          <w:iCs w:val="false"/>
          <w:color w:val="1a1a1a"/>
          <w:sz w:val="19"/>
          <w:szCs w:val="19"/>
          <w:rFonts w:ascii="Nunito Sans" w:cs="Nunito Sans" w:eastAsia="Nunito Sans" w:hAnsi="Nunito Sans"/>
        </w:rPr>
        <w:t xml:space="preserve">Highlighted ⚠ rows are NOT directly supported by an exemplar</w:t>
      </w:r>
      <w:r>
        <w:rPr>
          <w:b w:val="false"/>
          <w:bCs w:val="false"/>
          <w:i w:val="false"/>
          <w:iCs w:val="false"/>
          <w:color w:val="1a1a1a"/>
          <w:sz w:val="19"/>
          <w:szCs w:val="19"/>
          <w:rFonts w:ascii="Nunito Sans" w:cs="Nunito Sans" w:eastAsia="Nunito Sans" w:hAnsi="Nunito Sans"/>
        </w:rPr>
        <w:t xml:space="preserve"> — they are house settings or analogies and require manual review and approval by the team (full reasons in the “Items Requiring Manual Review” section).</w:t>
      </w:r>
    </w:p>
    <w:tbl>
      <w:tblPr>
        <w:tblW w:type="dxa" w:w="9026"/>
        <w:tblBorders>
          <w:top w:val="single" w:color="D4E2EE" w:sz="4"/>
          <w:left w:val="single" w:color="D4E2EE" w:sz="4"/>
          <w:bottom w:val="single" w:color="D4E2EE" w:sz="4"/>
          <w:right w:val="single" w:color="D4E2EE" w:sz="4"/>
          <w:insideH w:val="single" w:color="D4E2EE" w:sz="4"/>
          <w:insideV w:val="single" w:color="D4E2EE" w:sz="4"/>
        </w:tblBorders>
      </w:tblPr>
      <w:tblGrid>
        <w:gridCol w:w="2950"/>
        <w:gridCol w:w="1050"/>
        <w:gridCol w:w="1200"/>
        <w:gridCol w:w="1150"/>
        <w:gridCol w:w="2676"/>
      </w:tblGrid>
      <w:tr>
        <w:trPr>
          <w:tblHeader/>
        </w:trPr>
        <w:tc>
          <w:tcPr>
            <w:tcW w:type="dxa" w:w="2950"/>
            <w:shd w:fill="0C2E3F" w:val="clear"/>
            <w:tcMar>
              <w:top w:type="dxa" w:w="60"/>
              <w:left w:type="dxa" w:w="110"/>
              <w:bottom w:type="dxa" w:w="60"/>
              <w:right w:type="dxa" w:w="110"/>
            </w:tcMar>
          </w:tcPr>
          <w:p>
            <w:pPr>
              <w:spacing w:before="0" w:after="0" w:line="250"/>
            </w:pPr>
            <w:r>
              <w:rPr>
                <w:b/>
                <w:bCs/>
                <w:color w:val="FFFFFF"/>
                <w:sz w:val="18"/>
                <w:szCs w:val="18"/>
                <w:rFonts w:ascii="Nunito Sans" w:cs="Nunito Sans" w:eastAsia="Nunito Sans" w:hAnsi="Nunito Sans"/>
              </w:rPr>
              <w:t xml:space="preserve">Strategy</w:t>
            </w:r>
          </w:p>
        </w:tc>
        <w:tc>
          <w:tcPr>
            <w:tcW w:type="dxa" w:w="1050"/>
            <w:shd w:fill="0C2E3F" w:val="clear"/>
            <w:tcMar>
              <w:top w:type="dxa" w:w="60"/>
              <w:left w:type="dxa" w:w="110"/>
              <w:bottom w:type="dxa" w:w="60"/>
              <w:right w:type="dxa" w:w="110"/>
            </w:tcMar>
          </w:tcPr>
          <w:p>
            <w:pPr>
              <w:spacing w:before="0" w:after="0" w:line="250"/>
            </w:pPr>
            <w:r>
              <w:rPr>
                <w:b/>
                <w:bCs/>
                <w:color w:val="FFFFFF"/>
                <w:sz w:val="18"/>
                <w:szCs w:val="18"/>
                <w:rFonts w:ascii="Nunito Sans" w:cs="Nunito Sans" w:eastAsia="Nunito Sans" w:hAnsi="Nunito Sans"/>
              </w:rPr>
              <w:t xml:space="preserve">Weighting</w:t>
            </w:r>
          </w:p>
        </w:tc>
        <w:tc>
          <w:tcPr>
            <w:tcW w:type="dxa" w:w="1200"/>
            <w:shd w:fill="0C2E3F" w:val="clear"/>
            <w:tcMar>
              <w:top w:type="dxa" w:w="60"/>
              <w:left w:type="dxa" w:w="110"/>
              <w:bottom w:type="dxa" w:w="60"/>
              <w:right w:type="dxa" w:w="110"/>
            </w:tcMar>
          </w:tcPr>
          <w:p>
            <w:pPr>
              <w:spacing w:before="0" w:after="0" w:line="250"/>
            </w:pPr>
            <w:r>
              <w:rPr>
                <w:b/>
                <w:bCs/>
                <w:color w:val="FFFFFF"/>
                <w:sz w:val="18"/>
                <w:szCs w:val="18"/>
                <w:rFonts w:ascii="Nunito Sans" w:cs="Nunito Sans" w:eastAsia="Nunito Sans" w:hAnsi="Nunito Sans"/>
              </w:rPr>
              <w:t xml:space="preserve">Deductible</w:t>
            </w:r>
          </w:p>
        </w:tc>
        <w:tc>
          <w:tcPr>
            <w:tcW w:type="dxa" w:w="1150"/>
            <w:shd w:fill="0C2E3F" w:val="clear"/>
            <w:tcMar>
              <w:top w:type="dxa" w:w="60"/>
              <w:left w:type="dxa" w:w="110"/>
              <w:bottom w:type="dxa" w:w="60"/>
              <w:right w:type="dxa" w:w="110"/>
            </w:tcMar>
          </w:tcPr>
          <w:p>
            <w:pPr>
              <w:spacing w:before="0" w:after="0" w:line="250"/>
            </w:pPr>
            <w:r>
              <w:rPr>
                <w:b/>
                <w:bCs/>
                <w:color w:val="FFFFFF"/>
                <w:sz w:val="18"/>
                <w:szCs w:val="18"/>
                <w:rFonts w:ascii="Nunito Sans" w:cs="Nunito Sans" w:eastAsia="Nunito Sans" w:hAnsi="Nunito Sans"/>
              </w:rPr>
              <w:t xml:space="preserve">Section</w:t>
            </w:r>
          </w:p>
        </w:tc>
        <w:tc>
          <w:tcPr>
            <w:tcW w:type="dxa" w:w="2676"/>
            <w:shd w:fill="0C2E3F" w:val="clear"/>
            <w:tcMar>
              <w:top w:type="dxa" w:w="60"/>
              <w:left w:type="dxa" w:w="110"/>
              <w:bottom w:type="dxa" w:w="60"/>
              <w:right w:type="dxa" w:w="110"/>
            </w:tcMar>
          </w:tcPr>
          <w:p>
            <w:pPr>
              <w:spacing w:before="0" w:after="0" w:line="250"/>
            </w:pPr>
            <w:r>
              <w:rPr>
                <w:b/>
                <w:bCs/>
                <w:color w:val="FFFFFF"/>
                <w:sz w:val="18"/>
                <w:szCs w:val="18"/>
                <w:rFonts w:ascii="Nunito Sans" w:cs="Nunito Sans" w:eastAsia="Nunito Sans" w:hAnsi="Nunito Sans"/>
              </w:rPr>
              <w:t xml:space="preserve">Presets (low / mid / high)</w:t>
            </w:r>
          </w:p>
        </w:tc>
      </w:tr>
      <w:tr>
        <w:tc>
          <w:tcPr>
            <w:tcW w:type="dxa" w:w="9026"/>
            <w:gridSpan w:val="5"/>
            <w:shd w:fill="2B6FD6" w:val="clear"/>
            <w:tcMar>
              <w:top w:type="dxa" w:w="60"/>
              <w:left w:type="dxa" w:w="110"/>
              <w:bottom w:type="dxa" w:w="60"/>
              <w:right w:type="dxa" w:w="110"/>
            </w:tcMar>
          </w:tcPr>
          <w:p>
            <w:pPr>
              <w:spacing w:before="0" w:after="0"/>
            </w:pPr>
            <w:r>
              <w:rPr>
                <w:b/>
                <w:bCs/>
                <w:color w:val="FFFFFF"/>
                <w:sz w:val="19"/>
                <w:szCs w:val="19"/>
                <w:rFonts w:ascii="Nunito Sans" w:cs="Nunito Sans" w:eastAsia="Nunito Sans" w:hAnsi="Nunito Sans"/>
              </w:rPr>
              <w:t xml:space="preserve">Super &amp; Retirement</w:t>
            </w:r>
          </w:p>
        </w:tc>
      </w:tr>
      <w:tr>
        <w:tc>
          <w:tcPr>
            <w:tcW w:type="dxa" w:w="29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Salary Sacrifice to Superannuation</w:t>
            </w:r>
          </w:p>
        </w:tc>
        <w:tc>
          <w:tcPr>
            <w:tcW w:type="dxa" w:w="10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10–30%</w:t>
            </w:r>
          </w:p>
        </w:tc>
        <w:tc>
          <w:tcPr>
            <w:tcW w:type="dxa" w:w="120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100–100%</w:t>
            </w:r>
          </w:p>
        </w:tc>
        <w:tc>
          <w:tcPr>
            <w:tcW w:type="dxa" w:w="11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s25-5</w:t>
            </w:r>
          </w:p>
        </w:tc>
        <w:tc>
          <w:tcPr>
            <w:tcW w:type="dxa" w:w="2676"/>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100</w:t>
            </w:r>
          </w:p>
        </w:tc>
      </w:tr>
      <w:tr>
        <w:tc>
          <w:tcPr>
            <w:tcW w:type="dxa" w:w="29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Personal Deductible Concessional Contributions</w:t>
            </w:r>
          </w:p>
        </w:tc>
        <w:tc>
          <w:tcPr>
            <w:tcW w:type="dxa" w:w="10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10–30%</w:t>
            </w:r>
          </w:p>
        </w:tc>
        <w:tc>
          <w:tcPr>
            <w:tcW w:type="dxa" w:w="120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100–100%</w:t>
            </w:r>
          </w:p>
        </w:tc>
        <w:tc>
          <w:tcPr>
            <w:tcW w:type="dxa" w:w="11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s25-5</w:t>
            </w:r>
          </w:p>
        </w:tc>
        <w:tc>
          <w:tcPr>
            <w:tcW w:type="dxa" w:w="2676"/>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100</w:t>
            </w:r>
          </w:p>
        </w:tc>
      </w:tr>
      <w:tr>
        <w:tc>
          <w:tcPr>
            <w:tcW w:type="dxa" w:w="29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Non-Concessional (After-Tax) Contributions</w:t>
            </w:r>
          </w:p>
        </w:tc>
        <w:tc>
          <w:tcPr>
            <w:tcW w:type="dxa" w:w="10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5–20%</w:t>
            </w:r>
          </w:p>
        </w:tc>
        <w:tc>
          <w:tcPr>
            <w:tcW w:type="dxa" w:w="120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100–100%</w:t>
            </w:r>
          </w:p>
        </w:tc>
        <w:tc>
          <w:tcPr>
            <w:tcW w:type="dxa" w:w="11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s25-5</w:t>
            </w:r>
          </w:p>
        </w:tc>
        <w:tc>
          <w:tcPr>
            <w:tcW w:type="dxa" w:w="2676"/>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100</w:t>
            </w:r>
          </w:p>
        </w:tc>
      </w:tr>
      <w:tr>
        <w:tc>
          <w:tcPr>
            <w:tcW w:type="dxa" w:w="2950"/>
            <w:shd w:fill="FFF3B8" w:val="clear"/>
            <w:tcMar>
              <w:top w:type="dxa" w:w="60"/>
              <w:left w:type="dxa" w:w="110"/>
              <w:bottom w:type="dxa" w:w="60"/>
              <w:right w:type="dxa" w:w="110"/>
            </w:tcMar>
          </w:tcPr>
          <w:p>
            <w:pPr>
              <w:spacing w:before="0" w:after="0" w:line="250"/>
            </w:pPr>
            <w:r>
              <w:rPr>
                <w:b/>
                <w:bCs/>
                <w:color w:val="1a1a1a"/>
                <w:sz w:val="18"/>
                <w:szCs w:val="18"/>
                <w:rFonts w:ascii="Nunito Sans" w:cs="Nunito Sans" w:eastAsia="Nunito Sans" w:hAnsi="Nunito Sans"/>
              </w:rPr>
              <w:t xml:space="preserve">⚠ Spouse Contributions / Contribution Splitting</w:t>
            </w:r>
          </w:p>
        </w:tc>
        <w:tc>
          <w:tcPr>
            <w:tcW w:type="dxa" w:w="1050"/>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5–15%</w:t>
            </w:r>
          </w:p>
        </w:tc>
        <w:tc>
          <w:tcPr>
            <w:tcW w:type="dxa" w:w="1200"/>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0–30%</w:t>
            </w:r>
          </w:p>
        </w:tc>
        <w:tc>
          <w:tcPr>
            <w:tcW w:type="dxa" w:w="1150"/>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s25-5</w:t>
            </w:r>
          </w:p>
        </w:tc>
        <w:tc>
          <w:tcPr>
            <w:tcW w:type="dxa" w:w="2676"/>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15 / 30</w:t>
            </w:r>
          </w:p>
        </w:tc>
      </w:tr>
      <w:tr>
        <w:tc>
          <w:tcPr>
            <w:tcW w:type="dxa" w:w="2950"/>
            <w:shd w:fill="FFF3B8" w:val="clear"/>
            <w:tcMar>
              <w:top w:type="dxa" w:w="60"/>
              <w:left w:type="dxa" w:w="110"/>
              <w:bottom w:type="dxa" w:w="60"/>
              <w:right w:type="dxa" w:w="110"/>
            </w:tcMar>
          </w:tcPr>
          <w:p>
            <w:pPr>
              <w:spacing w:before="0" w:after="0" w:line="250"/>
            </w:pPr>
            <w:r>
              <w:rPr>
                <w:b/>
                <w:bCs/>
                <w:color w:val="1a1a1a"/>
                <w:sz w:val="18"/>
                <w:szCs w:val="18"/>
                <w:rFonts w:ascii="Nunito Sans" w:cs="Nunito Sans" w:eastAsia="Nunito Sans" w:hAnsi="Nunito Sans"/>
              </w:rPr>
              <w:t xml:space="preserve">⚠ Downsizer Contributions</w:t>
            </w:r>
          </w:p>
        </w:tc>
        <w:tc>
          <w:tcPr>
            <w:tcW w:type="dxa" w:w="1050"/>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5–15%</w:t>
            </w:r>
          </w:p>
        </w:tc>
        <w:tc>
          <w:tcPr>
            <w:tcW w:type="dxa" w:w="1200"/>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0–20%</w:t>
            </w:r>
          </w:p>
        </w:tc>
        <w:tc>
          <w:tcPr>
            <w:tcW w:type="dxa" w:w="1150"/>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s25-5</w:t>
            </w:r>
          </w:p>
        </w:tc>
        <w:tc>
          <w:tcPr>
            <w:tcW w:type="dxa" w:w="2676"/>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10 / 20</w:t>
            </w:r>
          </w:p>
        </w:tc>
      </w:tr>
      <w:tr>
        <w:tc>
          <w:tcPr>
            <w:tcW w:type="dxa" w:w="2950"/>
            <w:shd w:fill="FFF3B8" w:val="clear"/>
            <w:tcMar>
              <w:top w:type="dxa" w:w="60"/>
              <w:left w:type="dxa" w:w="110"/>
              <w:bottom w:type="dxa" w:w="60"/>
              <w:right w:type="dxa" w:w="110"/>
            </w:tcMar>
          </w:tcPr>
          <w:p>
            <w:pPr>
              <w:spacing w:before="0" w:after="0" w:line="250"/>
            </w:pPr>
            <w:r>
              <w:rPr>
                <w:b/>
                <w:bCs/>
                <w:color w:val="1a1a1a"/>
                <w:sz w:val="18"/>
                <w:szCs w:val="18"/>
                <w:rFonts w:ascii="Nunito Sans" w:cs="Nunito Sans" w:eastAsia="Nunito Sans" w:hAnsi="Nunito Sans"/>
              </w:rPr>
              <w:t xml:space="preserve">⚠ Re-contribution Strategy</w:t>
            </w:r>
          </w:p>
        </w:tc>
        <w:tc>
          <w:tcPr>
            <w:tcW w:type="dxa" w:w="1050"/>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5–20%</w:t>
            </w:r>
          </w:p>
        </w:tc>
        <w:tc>
          <w:tcPr>
            <w:tcW w:type="dxa" w:w="1200"/>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0–30%</w:t>
            </w:r>
          </w:p>
        </w:tc>
        <w:tc>
          <w:tcPr>
            <w:tcW w:type="dxa" w:w="1150"/>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s25-5</w:t>
            </w:r>
          </w:p>
        </w:tc>
        <w:tc>
          <w:tcPr>
            <w:tcW w:type="dxa" w:w="2676"/>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15 / 30</w:t>
            </w:r>
          </w:p>
        </w:tc>
      </w:tr>
      <w:tr>
        <w:tc>
          <w:tcPr>
            <w:tcW w:type="dxa" w:w="29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Commencement of an Account Based Pension (ABP)</w:t>
            </w:r>
          </w:p>
        </w:tc>
        <w:tc>
          <w:tcPr>
            <w:tcW w:type="dxa" w:w="10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10–25%</w:t>
            </w:r>
          </w:p>
        </w:tc>
        <w:tc>
          <w:tcPr>
            <w:tcW w:type="dxa" w:w="120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80–80%</w:t>
            </w:r>
          </w:p>
        </w:tc>
        <w:tc>
          <w:tcPr>
            <w:tcW w:type="dxa" w:w="11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s25-5</w:t>
            </w:r>
          </w:p>
        </w:tc>
        <w:tc>
          <w:tcPr>
            <w:tcW w:type="dxa" w:w="2676"/>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80</w:t>
            </w:r>
          </w:p>
        </w:tc>
      </w:tr>
      <w:tr>
        <w:tc>
          <w:tcPr>
            <w:tcW w:type="dxa" w:w="2950"/>
            <w:shd w:fill="FFF3B8" w:val="clear"/>
            <w:tcMar>
              <w:top w:type="dxa" w:w="60"/>
              <w:left w:type="dxa" w:w="110"/>
              <w:bottom w:type="dxa" w:w="60"/>
              <w:right w:type="dxa" w:w="110"/>
            </w:tcMar>
          </w:tcPr>
          <w:p>
            <w:pPr>
              <w:spacing w:before="0" w:after="0" w:line="250"/>
            </w:pPr>
            <w:r>
              <w:rPr>
                <w:b/>
                <w:bCs/>
                <w:color w:val="1a1a1a"/>
                <w:sz w:val="18"/>
                <w:szCs w:val="18"/>
                <w:rFonts w:ascii="Nunito Sans" w:cs="Nunito Sans" w:eastAsia="Nunito Sans" w:hAnsi="Nunito Sans"/>
              </w:rPr>
              <w:t xml:space="preserve">⚠ Commencement of a Transition to Retirement (TTR)</w:t>
            </w:r>
          </w:p>
        </w:tc>
        <w:tc>
          <w:tcPr>
            <w:tcW w:type="dxa" w:w="1050"/>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10–25%</w:t>
            </w:r>
          </w:p>
        </w:tc>
        <w:tc>
          <w:tcPr>
            <w:tcW w:type="dxa" w:w="1200"/>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80–80%</w:t>
            </w:r>
          </w:p>
        </w:tc>
        <w:tc>
          <w:tcPr>
            <w:tcW w:type="dxa" w:w="1150"/>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s25-5</w:t>
            </w:r>
          </w:p>
        </w:tc>
        <w:tc>
          <w:tcPr>
            <w:tcW w:type="dxa" w:w="2676"/>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80</w:t>
            </w:r>
          </w:p>
        </w:tc>
      </w:tr>
      <w:tr>
        <w:tc>
          <w:tcPr>
            <w:tcW w:type="dxa" w:w="29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Ongoing Superannuation &amp; Pension Management</w:t>
            </w:r>
          </w:p>
        </w:tc>
        <w:tc>
          <w:tcPr>
            <w:tcW w:type="dxa" w:w="10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20–60%</w:t>
            </w:r>
          </w:p>
        </w:tc>
        <w:tc>
          <w:tcPr>
            <w:tcW w:type="dxa" w:w="120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0–80%</w:t>
            </w:r>
          </w:p>
        </w:tc>
        <w:tc>
          <w:tcPr>
            <w:tcW w:type="dxa" w:w="11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s25-5</w:t>
            </w:r>
          </w:p>
        </w:tc>
        <w:tc>
          <w:tcPr>
            <w:tcW w:type="dxa" w:w="2676"/>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40 / 80</w:t>
            </w:r>
          </w:p>
        </w:tc>
      </w:tr>
      <w:tr>
        <w:tc>
          <w:tcPr>
            <w:tcW w:type="dxa" w:w="29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Rollover Existing Super to New Fund/Platform</w:t>
            </w:r>
          </w:p>
        </w:tc>
        <w:tc>
          <w:tcPr>
            <w:tcW w:type="dxa" w:w="10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10–25%</w:t>
            </w:r>
          </w:p>
        </w:tc>
        <w:tc>
          <w:tcPr>
            <w:tcW w:type="dxa" w:w="120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0%</w:t>
            </w:r>
          </w:p>
        </w:tc>
        <w:tc>
          <w:tcPr>
            <w:tcW w:type="dxa" w:w="11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Non-Deductible</w:t>
            </w:r>
          </w:p>
        </w:tc>
        <w:tc>
          <w:tcPr>
            <w:tcW w:type="dxa" w:w="2676"/>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w:t>
            </w:r>
          </w:p>
        </w:tc>
      </w:tr>
      <w:tr>
        <w:tc>
          <w:tcPr>
            <w:tcW w:type="dxa" w:w="2950"/>
            <w:shd w:fill="FFF3B8" w:val="clear"/>
            <w:tcMar>
              <w:top w:type="dxa" w:w="60"/>
              <w:left w:type="dxa" w:w="110"/>
              <w:bottom w:type="dxa" w:w="60"/>
              <w:right w:type="dxa" w:w="110"/>
            </w:tcMar>
          </w:tcPr>
          <w:p>
            <w:pPr>
              <w:spacing w:before="0" w:after="0" w:line="250"/>
            </w:pPr>
            <w:r>
              <w:rPr>
                <w:b/>
                <w:bCs/>
                <w:color w:val="1a1a1a"/>
                <w:sz w:val="18"/>
                <w:szCs w:val="18"/>
                <w:rFonts w:ascii="Nunito Sans" w:cs="Nunito Sans" w:eastAsia="Nunito Sans" w:hAnsi="Nunito Sans"/>
              </w:rPr>
              <w:t xml:space="preserve">⚠ Consolidate Multiple Superannuation Accounts</w:t>
            </w:r>
          </w:p>
        </w:tc>
        <w:tc>
          <w:tcPr>
            <w:tcW w:type="dxa" w:w="1050"/>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5–15%</w:t>
            </w:r>
          </w:p>
        </w:tc>
        <w:tc>
          <w:tcPr>
            <w:tcW w:type="dxa" w:w="1200"/>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0–10%</w:t>
            </w:r>
          </w:p>
        </w:tc>
        <w:tc>
          <w:tcPr>
            <w:tcW w:type="dxa" w:w="1150"/>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s25-5</w:t>
            </w:r>
          </w:p>
        </w:tc>
        <w:tc>
          <w:tcPr>
            <w:tcW w:type="dxa" w:w="2676"/>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5 / 10</w:t>
            </w:r>
          </w:p>
        </w:tc>
      </w:tr>
      <w:tr>
        <w:tc>
          <w:tcPr>
            <w:tcW w:type="dxa" w:w="29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Review/Optimise Investment Strategy within Super</w:t>
            </w:r>
          </w:p>
        </w:tc>
        <w:tc>
          <w:tcPr>
            <w:tcW w:type="dxa" w:w="10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10–30%</w:t>
            </w:r>
          </w:p>
        </w:tc>
        <w:tc>
          <w:tcPr>
            <w:tcW w:type="dxa" w:w="120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0%</w:t>
            </w:r>
          </w:p>
        </w:tc>
        <w:tc>
          <w:tcPr>
            <w:tcW w:type="dxa" w:w="11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Non-Deductible</w:t>
            </w:r>
          </w:p>
        </w:tc>
        <w:tc>
          <w:tcPr>
            <w:tcW w:type="dxa" w:w="2676"/>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w:t>
            </w:r>
          </w:p>
        </w:tc>
      </w:tr>
      <w:tr>
        <w:tc>
          <w:tcPr>
            <w:tcW w:type="dxa" w:w="9026"/>
            <w:gridSpan w:val="5"/>
            <w:shd w:fill="2B6FD6" w:val="clear"/>
            <w:tcMar>
              <w:top w:type="dxa" w:w="60"/>
              <w:left w:type="dxa" w:w="110"/>
              <w:bottom w:type="dxa" w:w="60"/>
              <w:right w:type="dxa" w:w="110"/>
            </w:tcMar>
          </w:tcPr>
          <w:p>
            <w:pPr>
              <w:spacing w:before="0" w:after="0"/>
            </w:pPr>
            <w:r>
              <w:rPr>
                <w:b/>
                <w:bCs/>
                <w:color w:val="FFFFFF"/>
                <w:sz w:val="19"/>
                <w:szCs w:val="19"/>
                <w:rFonts w:ascii="Nunito Sans" w:cs="Nunito Sans" w:eastAsia="Nunito Sans" w:hAnsi="Nunito Sans"/>
              </w:rPr>
              <w:t xml:space="preserve">Investments</w:t>
            </w:r>
          </w:p>
        </w:tc>
      </w:tr>
      <w:tr>
        <w:tc>
          <w:tcPr>
            <w:tcW w:type="dxa" w:w="29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Establish a New Investment Portfolio (from scratch)</w:t>
            </w:r>
          </w:p>
        </w:tc>
        <w:tc>
          <w:tcPr>
            <w:tcW w:type="dxa" w:w="10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20–60%</w:t>
            </w:r>
          </w:p>
        </w:tc>
        <w:tc>
          <w:tcPr>
            <w:tcW w:type="dxa" w:w="120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0%</w:t>
            </w:r>
          </w:p>
        </w:tc>
        <w:tc>
          <w:tcPr>
            <w:tcW w:type="dxa" w:w="11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Non-Deductible</w:t>
            </w:r>
          </w:p>
        </w:tc>
        <w:tc>
          <w:tcPr>
            <w:tcW w:type="dxa" w:w="2676"/>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w:t>
            </w:r>
          </w:p>
        </w:tc>
      </w:tr>
      <w:tr>
        <w:tc>
          <w:tcPr>
            <w:tcW w:type="dxa" w:w="29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Ongoing Management of an Existing Investment Portfolio</w:t>
            </w:r>
          </w:p>
        </w:tc>
        <w:tc>
          <w:tcPr>
            <w:tcW w:type="dxa" w:w="10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20–70%</w:t>
            </w:r>
          </w:p>
        </w:tc>
        <w:tc>
          <w:tcPr>
            <w:tcW w:type="dxa" w:w="120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70–80%</w:t>
            </w:r>
          </w:p>
        </w:tc>
        <w:tc>
          <w:tcPr>
            <w:tcW w:type="dxa" w:w="11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s25-5 &amp; s8-1</w:t>
            </w:r>
          </w:p>
        </w:tc>
        <w:tc>
          <w:tcPr>
            <w:tcW w:type="dxa" w:w="2676"/>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70 / 75 / 80</w:t>
            </w:r>
          </w:p>
        </w:tc>
      </w:tr>
      <w:tr>
        <w:tc>
          <w:tcPr>
            <w:tcW w:type="dxa" w:w="2950"/>
            <w:shd w:fill="FFF3B8" w:val="clear"/>
            <w:tcMar>
              <w:top w:type="dxa" w:w="60"/>
              <w:left w:type="dxa" w:w="110"/>
              <w:bottom w:type="dxa" w:w="60"/>
              <w:right w:type="dxa" w:w="110"/>
            </w:tcMar>
          </w:tcPr>
          <w:p>
            <w:pPr>
              <w:spacing w:before="0" w:after="0" w:line="250"/>
            </w:pPr>
            <w:r>
              <w:rPr>
                <w:b/>
                <w:bCs/>
                <w:color w:val="1a1a1a"/>
                <w:sz w:val="18"/>
                <w:szCs w:val="18"/>
                <w:rFonts w:ascii="Nunito Sans" w:cs="Nunito Sans" w:eastAsia="Nunito Sans" w:hAnsi="Nunito Sans"/>
              </w:rPr>
              <w:t xml:space="preserve">⚠ Investment Portfolio Review &amp; Rebalancing</w:t>
            </w:r>
          </w:p>
        </w:tc>
        <w:tc>
          <w:tcPr>
            <w:tcW w:type="dxa" w:w="1050"/>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10–40%</w:t>
            </w:r>
          </w:p>
        </w:tc>
        <w:tc>
          <w:tcPr>
            <w:tcW w:type="dxa" w:w="1200"/>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70–80%</w:t>
            </w:r>
          </w:p>
        </w:tc>
        <w:tc>
          <w:tcPr>
            <w:tcW w:type="dxa" w:w="1150"/>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s25-5 &amp; s8-1</w:t>
            </w:r>
          </w:p>
        </w:tc>
        <w:tc>
          <w:tcPr>
            <w:tcW w:type="dxa" w:w="2676"/>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70 / 75 / 80</w:t>
            </w:r>
          </w:p>
        </w:tc>
      </w:tr>
      <w:tr>
        <w:tc>
          <w:tcPr>
            <w:tcW w:type="dxa" w:w="2950"/>
            <w:shd w:fill="FFF3B8" w:val="clear"/>
            <w:tcMar>
              <w:top w:type="dxa" w:w="60"/>
              <w:left w:type="dxa" w:w="110"/>
              <w:bottom w:type="dxa" w:w="60"/>
              <w:right w:type="dxa" w:w="110"/>
            </w:tcMar>
          </w:tcPr>
          <w:p>
            <w:pPr>
              <w:spacing w:before="0" w:after="0" w:line="250"/>
            </w:pPr>
            <w:r>
              <w:rPr>
                <w:b/>
                <w:bCs/>
                <w:color w:val="1a1a1a"/>
                <w:sz w:val="18"/>
                <w:szCs w:val="18"/>
                <w:rFonts w:ascii="Nunito Sans" w:cs="Nunito Sans" w:eastAsia="Nunito Sans" w:hAnsi="Nunito Sans"/>
              </w:rPr>
              <w:t xml:space="preserve">⚠ Gearing Strategy Advice (Deductible Debt)</w:t>
            </w:r>
          </w:p>
        </w:tc>
        <w:tc>
          <w:tcPr>
            <w:tcW w:type="dxa" w:w="1050"/>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20–70%</w:t>
            </w:r>
          </w:p>
        </w:tc>
        <w:tc>
          <w:tcPr>
            <w:tcW w:type="dxa" w:w="1200"/>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70–100%</w:t>
            </w:r>
          </w:p>
        </w:tc>
        <w:tc>
          <w:tcPr>
            <w:tcW w:type="dxa" w:w="1150"/>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s8-1</w:t>
            </w:r>
          </w:p>
        </w:tc>
        <w:tc>
          <w:tcPr>
            <w:tcW w:type="dxa" w:w="2676"/>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70 / 85 / 100</w:t>
            </w:r>
          </w:p>
        </w:tc>
      </w:tr>
      <w:tr>
        <w:tc>
          <w:tcPr>
            <w:tcW w:type="dxa" w:w="2950"/>
            <w:shd w:fill="FFF3B8" w:val="clear"/>
            <w:tcMar>
              <w:top w:type="dxa" w:w="60"/>
              <w:left w:type="dxa" w:w="110"/>
              <w:bottom w:type="dxa" w:w="60"/>
              <w:right w:type="dxa" w:w="110"/>
            </w:tcMar>
          </w:tcPr>
          <w:p>
            <w:pPr>
              <w:spacing w:before="0" w:after="0" w:line="250"/>
            </w:pPr>
            <w:r>
              <w:rPr>
                <w:b/>
                <w:bCs/>
                <w:color w:val="1a1a1a"/>
                <w:sz w:val="18"/>
                <w:szCs w:val="18"/>
                <w:rFonts w:ascii="Nunito Sans" w:cs="Nunito Sans" w:eastAsia="Nunito Sans" w:hAnsi="Nunito Sans"/>
              </w:rPr>
              <w:t xml:space="preserve">⚠ ETF Investment Advice (related to existing portfolio)</w:t>
            </w:r>
          </w:p>
        </w:tc>
        <w:tc>
          <w:tcPr>
            <w:tcW w:type="dxa" w:w="1050"/>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5–20%</w:t>
            </w:r>
          </w:p>
        </w:tc>
        <w:tc>
          <w:tcPr>
            <w:tcW w:type="dxa" w:w="1200"/>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70–80%</w:t>
            </w:r>
          </w:p>
        </w:tc>
        <w:tc>
          <w:tcPr>
            <w:tcW w:type="dxa" w:w="1150"/>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s25-5 &amp; s8-1</w:t>
            </w:r>
          </w:p>
        </w:tc>
        <w:tc>
          <w:tcPr>
            <w:tcW w:type="dxa" w:w="2676"/>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70 / 75 / 80</w:t>
            </w:r>
          </w:p>
        </w:tc>
      </w:tr>
      <w:tr>
        <w:tc>
          <w:tcPr>
            <w:tcW w:type="dxa" w:w="2950"/>
            <w:shd w:fill="FFF3B8" w:val="clear"/>
            <w:tcMar>
              <w:top w:type="dxa" w:w="60"/>
              <w:left w:type="dxa" w:w="110"/>
              <w:bottom w:type="dxa" w:w="60"/>
              <w:right w:type="dxa" w:w="110"/>
            </w:tcMar>
          </w:tcPr>
          <w:p>
            <w:pPr>
              <w:spacing w:before="0" w:after="0" w:line="250"/>
            </w:pPr>
            <w:r>
              <w:rPr>
                <w:b/>
                <w:bCs/>
                <w:color w:val="1a1a1a"/>
                <w:sz w:val="18"/>
                <w:szCs w:val="18"/>
                <w:rFonts w:ascii="Nunito Sans" w:cs="Nunito Sans" w:eastAsia="Nunito Sans" w:hAnsi="Nunito Sans"/>
              </w:rPr>
              <w:t xml:space="preserve">⚠ Managed Fund / LIC Investment Review</w:t>
            </w:r>
          </w:p>
        </w:tc>
        <w:tc>
          <w:tcPr>
            <w:tcW w:type="dxa" w:w="1050"/>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5–20%</w:t>
            </w:r>
          </w:p>
        </w:tc>
        <w:tc>
          <w:tcPr>
            <w:tcW w:type="dxa" w:w="1200"/>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70–80%</w:t>
            </w:r>
          </w:p>
        </w:tc>
        <w:tc>
          <w:tcPr>
            <w:tcW w:type="dxa" w:w="1150"/>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s25-5 &amp; s8-1</w:t>
            </w:r>
          </w:p>
        </w:tc>
        <w:tc>
          <w:tcPr>
            <w:tcW w:type="dxa" w:w="2676"/>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70 / 75 / 80</w:t>
            </w:r>
          </w:p>
        </w:tc>
      </w:tr>
      <w:tr>
        <w:tc>
          <w:tcPr>
            <w:tcW w:type="dxa" w:w="2950"/>
            <w:shd w:fill="FFF3B8" w:val="clear"/>
            <w:tcMar>
              <w:top w:type="dxa" w:w="60"/>
              <w:left w:type="dxa" w:w="110"/>
              <w:bottom w:type="dxa" w:w="60"/>
              <w:right w:type="dxa" w:w="110"/>
            </w:tcMar>
          </w:tcPr>
          <w:p>
            <w:pPr>
              <w:spacing w:before="0" w:after="0" w:line="250"/>
            </w:pPr>
            <w:r>
              <w:rPr>
                <w:b/>
                <w:bCs/>
                <w:color w:val="1a1a1a"/>
                <w:sz w:val="18"/>
                <w:szCs w:val="18"/>
                <w:rFonts w:ascii="Nunito Sans" w:cs="Nunito Sans" w:eastAsia="Nunito Sans" w:hAnsi="Nunito Sans"/>
              </w:rPr>
              <w:t xml:space="preserve">⚠ Tax-Loss Harvesting Strategy</w:t>
            </w:r>
          </w:p>
        </w:tc>
        <w:tc>
          <w:tcPr>
            <w:tcW w:type="dxa" w:w="1050"/>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5–20%</w:t>
            </w:r>
          </w:p>
        </w:tc>
        <w:tc>
          <w:tcPr>
            <w:tcW w:type="dxa" w:w="1200"/>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80–100%</w:t>
            </w:r>
          </w:p>
        </w:tc>
        <w:tc>
          <w:tcPr>
            <w:tcW w:type="dxa" w:w="1150"/>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s25-5</w:t>
            </w:r>
          </w:p>
        </w:tc>
        <w:tc>
          <w:tcPr>
            <w:tcW w:type="dxa" w:w="2676"/>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80 / 90 / 100</w:t>
            </w:r>
          </w:p>
        </w:tc>
      </w:tr>
      <w:tr>
        <w:tc>
          <w:tcPr>
            <w:tcW w:type="dxa" w:w="29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Investment Structuring Advice (e.g., Trust, Company)</w:t>
            </w:r>
          </w:p>
        </w:tc>
        <w:tc>
          <w:tcPr>
            <w:tcW w:type="dxa" w:w="10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10–30%</w:t>
            </w:r>
          </w:p>
        </w:tc>
        <w:tc>
          <w:tcPr>
            <w:tcW w:type="dxa" w:w="120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80–80%</w:t>
            </w:r>
          </w:p>
        </w:tc>
        <w:tc>
          <w:tcPr>
            <w:tcW w:type="dxa" w:w="11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s25-5 &amp; s8-1</w:t>
            </w:r>
          </w:p>
        </w:tc>
        <w:tc>
          <w:tcPr>
            <w:tcW w:type="dxa" w:w="2676"/>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80</w:t>
            </w:r>
          </w:p>
        </w:tc>
      </w:tr>
      <w:tr>
        <w:tc>
          <w:tcPr>
            <w:tcW w:type="dxa" w:w="29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Investment Bond Advice</w:t>
            </w:r>
          </w:p>
        </w:tc>
        <w:tc>
          <w:tcPr>
            <w:tcW w:type="dxa" w:w="10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5–20%</w:t>
            </w:r>
          </w:p>
        </w:tc>
        <w:tc>
          <w:tcPr>
            <w:tcW w:type="dxa" w:w="120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80–80%</w:t>
            </w:r>
          </w:p>
        </w:tc>
        <w:tc>
          <w:tcPr>
            <w:tcW w:type="dxa" w:w="11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s25-5</w:t>
            </w:r>
          </w:p>
        </w:tc>
        <w:tc>
          <w:tcPr>
            <w:tcW w:type="dxa" w:w="2676"/>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80</w:t>
            </w:r>
          </w:p>
        </w:tc>
      </w:tr>
      <w:tr>
        <w:tc>
          <w:tcPr>
            <w:tcW w:type="dxa" w:w="9026"/>
            <w:gridSpan w:val="5"/>
            <w:shd w:fill="2B6FD6" w:val="clear"/>
            <w:tcMar>
              <w:top w:type="dxa" w:w="60"/>
              <w:left w:type="dxa" w:w="110"/>
              <w:bottom w:type="dxa" w:w="60"/>
              <w:right w:type="dxa" w:w="110"/>
            </w:tcMar>
          </w:tcPr>
          <w:p>
            <w:pPr>
              <w:spacing w:before="0" w:after="0"/>
            </w:pPr>
            <w:r>
              <w:rPr>
                <w:b/>
                <w:bCs/>
                <w:color w:val="FFFFFF"/>
                <w:sz w:val="19"/>
                <w:szCs w:val="19"/>
                <w:rFonts w:ascii="Nunito Sans" w:cs="Nunito Sans" w:eastAsia="Nunito Sans" w:hAnsi="Nunito Sans"/>
              </w:rPr>
              <w:t xml:space="preserve">Insurance</w:t>
            </w:r>
          </w:p>
        </w:tc>
      </w:tr>
      <w:tr>
        <w:tc>
          <w:tcPr>
            <w:tcW w:type="dxa" w:w="29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Income Protection Insurance Application/Review</w:t>
            </w:r>
          </w:p>
        </w:tc>
        <w:tc>
          <w:tcPr>
            <w:tcW w:type="dxa" w:w="10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5–20%</w:t>
            </w:r>
          </w:p>
        </w:tc>
        <w:tc>
          <w:tcPr>
            <w:tcW w:type="dxa" w:w="120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100–100%</w:t>
            </w:r>
          </w:p>
        </w:tc>
        <w:tc>
          <w:tcPr>
            <w:tcW w:type="dxa" w:w="11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s25-5 &amp; s8-1</w:t>
            </w:r>
          </w:p>
        </w:tc>
        <w:tc>
          <w:tcPr>
            <w:tcW w:type="dxa" w:w="2676"/>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100</w:t>
            </w:r>
          </w:p>
        </w:tc>
      </w:tr>
      <w:tr>
        <w:tc>
          <w:tcPr>
            <w:tcW w:type="dxa" w:w="2950"/>
            <w:shd w:fill="FFF3B8" w:val="clear"/>
            <w:tcMar>
              <w:top w:type="dxa" w:w="60"/>
              <w:left w:type="dxa" w:w="110"/>
              <w:bottom w:type="dxa" w:w="60"/>
              <w:right w:type="dxa" w:w="110"/>
            </w:tcMar>
          </w:tcPr>
          <w:p>
            <w:pPr>
              <w:spacing w:before="0" w:after="0" w:line="250"/>
            </w:pPr>
            <w:r>
              <w:rPr>
                <w:b/>
                <w:bCs/>
                <w:color w:val="1a1a1a"/>
                <w:sz w:val="18"/>
                <w:szCs w:val="18"/>
                <w:rFonts w:ascii="Nunito Sans" w:cs="Nunito Sans" w:eastAsia="Nunito Sans" w:hAnsi="Nunito Sans"/>
              </w:rPr>
              <w:t xml:space="preserve">⚠ Income Protection Insurance (held via superannuation)</w:t>
            </w:r>
          </w:p>
        </w:tc>
        <w:tc>
          <w:tcPr>
            <w:tcW w:type="dxa" w:w="1050"/>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5–20%</w:t>
            </w:r>
          </w:p>
        </w:tc>
        <w:tc>
          <w:tcPr>
            <w:tcW w:type="dxa" w:w="1200"/>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0–20%</w:t>
            </w:r>
          </w:p>
        </w:tc>
        <w:tc>
          <w:tcPr>
            <w:tcW w:type="dxa" w:w="1150"/>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s25-5</w:t>
            </w:r>
          </w:p>
        </w:tc>
        <w:tc>
          <w:tcPr>
            <w:tcW w:type="dxa" w:w="2676"/>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10 / 20</w:t>
            </w:r>
          </w:p>
        </w:tc>
      </w:tr>
      <w:tr>
        <w:tc>
          <w:tcPr>
            <w:tcW w:type="dxa" w:w="29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Personal Life/TPD/Trauma Insurance Advice (outside super)</w:t>
            </w:r>
          </w:p>
        </w:tc>
        <w:tc>
          <w:tcPr>
            <w:tcW w:type="dxa" w:w="10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5–20%</w:t>
            </w:r>
          </w:p>
        </w:tc>
        <w:tc>
          <w:tcPr>
            <w:tcW w:type="dxa" w:w="120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0%</w:t>
            </w:r>
          </w:p>
        </w:tc>
        <w:tc>
          <w:tcPr>
            <w:tcW w:type="dxa" w:w="11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Non-Deductible</w:t>
            </w:r>
          </w:p>
        </w:tc>
        <w:tc>
          <w:tcPr>
            <w:tcW w:type="dxa" w:w="2676"/>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w:t>
            </w:r>
          </w:p>
        </w:tc>
      </w:tr>
      <w:tr>
        <w:tc>
          <w:tcPr>
            <w:tcW w:type="dxa" w:w="29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Super-owned Life/TPD Insurance Advice</w:t>
            </w:r>
          </w:p>
        </w:tc>
        <w:tc>
          <w:tcPr>
            <w:tcW w:type="dxa" w:w="10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5–20%</w:t>
            </w:r>
          </w:p>
        </w:tc>
        <w:tc>
          <w:tcPr>
            <w:tcW w:type="dxa" w:w="120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20–20%</w:t>
            </w:r>
          </w:p>
        </w:tc>
        <w:tc>
          <w:tcPr>
            <w:tcW w:type="dxa" w:w="11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s25-5</w:t>
            </w:r>
          </w:p>
        </w:tc>
        <w:tc>
          <w:tcPr>
            <w:tcW w:type="dxa" w:w="2676"/>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20</w:t>
            </w:r>
          </w:p>
        </w:tc>
      </w:tr>
      <w:tr>
        <w:tc>
          <w:tcPr>
            <w:tcW w:type="dxa" w:w="2950"/>
            <w:shd w:fill="FFF3B8" w:val="clear"/>
            <w:tcMar>
              <w:top w:type="dxa" w:w="60"/>
              <w:left w:type="dxa" w:w="110"/>
              <w:bottom w:type="dxa" w:w="60"/>
              <w:right w:type="dxa" w:w="110"/>
            </w:tcMar>
          </w:tcPr>
          <w:p>
            <w:pPr>
              <w:spacing w:before="0" w:after="0" w:line="250"/>
            </w:pPr>
            <w:r>
              <w:rPr>
                <w:b/>
                <w:bCs/>
                <w:color w:val="1a1a1a"/>
                <w:sz w:val="18"/>
                <w:szCs w:val="18"/>
                <w:rFonts w:ascii="Nunito Sans" w:cs="Nunito Sans" w:eastAsia="Nunito Sans" w:hAnsi="Nunito Sans"/>
              </w:rPr>
              <w:t xml:space="preserve">⚠ Advice on Structuring Insurance Inside vs. Outside Super</w:t>
            </w:r>
          </w:p>
        </w:tc>
        <w:tc>
          <w:tcPr>
            <w:tcW w:type="dxa" w:w="1050"/>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5–20%</w:t>
            </w:r>
          </w:p>
        </w:tc>
        <w:tc>
          <w:tcPr>
            <w:tcW w:type="dxa" w:w="1200"/>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0–30%</w:t>
            </w:r>
          </w:p>
        </w:tc>
        <w:tc>
          <w:tcPr>
            <w:tcW w:type="dxa" w:w="1150"/>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s25-5</w:t>
            </w:r>
          </w:p>
        </w:tc>
        <w:tc>
          <w:tcPr>
            <w:tcW w:type="dxa" w:w="2676"/>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15 / 30</w:t>
            </w:r>
          </w:p>
        </w:tc>
      </w:tr>
      <w:tr>
        <w:tc>
          <w:tcPr>
            <w:tcW w:type="dxa" w:w="2950"/>
            <w:shd w:fill="FFF3B8" w:val="clear"/>
            <w:tcMar>
              <w:top w:type="dxa" w:w="60"/>
              <w:left w:type="dxa" w:w="110"/>
              <w:bottom w:type="dxa" w:w="60"/>
              <w:right w:type="dxa" w:w="110"/>
            </w:tcMar>
          </w:tcPr>
          <w:p>
            <w:pPr>
              <w:spacing w:before="0" w:after="0" w:line="250"/>
            </w:pPr>
            <w:r>
              <w:rPr>
                <w:b/>
                <w:bCs/>
                <w:color w:val="1a1a1a"/>
                <w:sz w:val="18"/>
                <w:szCs w:val="18"/>
                <w:rFonts w:ascii="Nunito Sans" w:cs="Nunito Sans" w:eastAsia="Nunito Sans" w:hAnsi="Nunito Sans"/>
              </w:rPr>
              <w:t xml:space="preserve">⚠ Business Expenses Insurance Advice</w:t>
            </w:r>
          </w:p>
        </w:tc>
        <w:tc>
          <w:tcPr>
            <w:tcW w:type="dxa" w:w="1050"/>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5–15%</w:t>
            </w:r>
          </w:p>
        </w:tc>
        <w:tc>
          <w:tcPr>
            <w:tcW w:type="dxa" w:w="1200"/>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70–100%</w:t>
            </w:r>
          </w:p>
        </w:tc>
        <w:tc>
          <w:tcPr>
            <w:tcW w:type="dxa" w:w="1150"/>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s8-1</w:t>
            </w:r>
          </w:p>
        </w:tc>
        <w:tc>
          <w:tcPr>
            <w:tcW w:type="dxa" w:w="2676"/>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70 / 85 / 100</w:t>
            </w:r>
          </w:p>
        </w:tc>
      </w:tr>
      <w:tr>
        <w:tc>
          <w:tcPr>
            <w:tcW w:type="dxa" w:w="2950"/>
            <w:shd w:fill="FFF3B8" w:val="clear"/>
            <w:tcMar>
              <w:top w:type="dxa" w:w="60"/>
              <w:left w:type="dxa" w:w="110"/>
              <w:bottom w:type="dxa" w:w="60"/>
              <w:right w:type="dxa" w:w="110"/>
            </w:tcMar>
          </w:tcPr>
          <w:p>
            <w:pPr>
              <w:spacing w:before="0" w:after="0" w:line="250"/>
            </w:pPr>
            <w:r>
              <w:rPr>
                <w:b/>
                <w:bCs/>
                <w:color w:val="1a1a1a"/>
                <w:sz w:val="18"/>
                <w:szCs w:val="18"/>
                <w:rFonts w:ascii="Nunito Sans" w:cs="Nunito Sans" w:eastAsia="Nunito Sans" w:hAnsi="Nunito Sans"/>
              </w:rPr>
              <w:t xml:space="preserve">⚠ Key Person Insurance (Deductibility Analysis)</w:t>
            </w:r>
          </w:p>
        </w:tc>
        <w:tc>
          <w:tcPr>
            <w:tcW w:type="dxa" w:w="1050"/>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5–20%</w:t>
            </w:r>
          </w:p>
        </w:tc>
        <w:tc>
          <w:tcPr>
            <w:tcW w:type="dxa" w:w="1200"/>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20–60%</w:t>
            </w:r>
          </w:p>
        </w:tc>
        <w:tc>
          <w:tcPr>
            <w:tcW w:type="dxa" w:w="1150"/>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s25-5</w:t>
            </w:r>
          </w:p>
        </w:tc>
        <w:tc>
          <w:tcPr>
            <w:tcW w:type="dxa" w:w="2676"/>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20 / 40 / 60</w:t>
            </w:r>
          </w:p>
        </w:tc>
      </w:tr>
      <w:tr>
        <w:tc>
          <w:tcPr>
            <w:tcW w:type="dxa" w:w="9026"/>
            <w:gridSpan w:val="5"/>
            <w:shd w:fill="2B6FD6" w:val="clear"/>
            <w:tcMar>
              <w:top w:type="dxa" w:w="60"/>
              <w:left w:type="dxa" w:w="110"/>
              <w:bottom w:type="dxa" w:w="60"/>
              <w:right w:type="dxa" w:w="110"/>
            </w:tcMar>
          </w:tcPr>
          <w:p>
            <w:pPr>
              <w:spacing w:before="0" w:after="0"/>
            </w:pPr>
            <w:r>
              <w:rPr>
                <w:b/>
                <w:bCs/>
                <w:color w:val="FFFFFF"/>
                <w:sz w:val="19"/>
                <w:szCs w:val="19"/>
                <w:rFonts w:ascii="Nunito Sans" w:cs="Nunito Sans" w:eastAsia="Nunito Sans" w:hAnsi="Nunito Sans"/>
              </w:rPr>
              <w:t xml:space="preserve">Debt, Cash Flow &amp; Centrelink</w:t>
            </w:r>
          </w:p>
        </w:tc>
      </w:tr>
      <w:tr>
        <w:tc>
          <w:tcPr>
            <w:tcW w:type="dxa" w:w="29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Paying down a Non-Deductible Debt (e.g., family home)</w:t>
            </w:r>
          </w:p>
        </w:tc>
        <w:tc>
          <w:tcPr>
            <w:tcW w:type="dxa" w:w="10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5–25%</w:t>
            </w:r>
          </w:p>
        </w:tc>
        <w:tc>
          <w:tcPr>
            <w:tcW w:type="dxa" w:w="120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0%</w:t>
            </w:r>
          </w:p>
        </w:tc>
        <w:tc>
          <w:tcPr>
            <w:tcW w:type="dxa" w:w="11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Non-Deductible</w:t>
            </w:r>
          </w:p>
        </w:tc>
        <w:tc>
          <w:tcPr>
            <w:tcW w:type="dxa" w:w="2676"/>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w:t>
            </w:r>
          </w:p>
        </w:tc>
      </w:tr>
      <w:tr>
        <w:tc>
          <w:tcPr>
            <w:tcW w:type="dxa" w:w="29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Bank Account &amp; Offset Structuring</w:t>
            </w:r>
          </w:p>
        </w:tc>
        <w:tc>
          <w:tcPr>
            <w:tcW w:type="dxa" w:w="10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5–15%</w:t>
            </w:r>
          </w:p>
        </w:tc>
        <w:tc>
          <w:tcPr>
            <w:tcW w:type="dxa" w:w="120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20–20%</w:t>
            </w:r>
          </w:p>
        </w:tc>
        <w:tc>
          <w:tcPr>
            <w:tcW w:type="dxa" w:w="11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s25-5</w:t>
            </w:r>
          </w:p>
        </w:tc>
        <w:tc>
          <w:tcPr>
            <w:tcW w:type="dxa" w:w="2676"/>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20</w:t>
            </w:r>
          </w:p>
        </w:tc>
      </w:tr>
      <w:tr>
        <w:tc>
          <w:tcPr>
            <w:tcW w:type="dxa" w:w="2950"/>
            <w:shd w:fill="FFF3B8" w:val="clear"/>
            <w:tcMar>
              <w:top w:type="dxa" w:w="60"/>
              <w:left w:type="dxa" w:w="110"/>
              <w:bottom w:type="dxa" w:w="60"/>
              <w:right w:type="dxa" w:w="110"/>
            </w:tcMar>
          </w:tcPr>
          <w:p>
            <w:pPr>
              <w:spacing w:before="0" w:after="0" w:line="250"/>
            </w:pPr>
            <w:r>
              <w:rPr>
                <w:b/>
                <w:bCs/>
                <w:color w:val="1a1a1a"/>
                <w:sz w:val="18"/>
                <w:szCs w:val="18"/>
                <w:rFonts w:ascii="Nunito Sans" w:cs="Nunito Sans" w:eastAsia="Nunito Sans" w:hAnsi="Nunito Sans"/>
              </w:rPr>
              <w:t xml:space="preserve">⚠ Debt Recycling Strategy</w:t>
            </w:r>
          </w:p>
        </w:tc>
        <w:tc>
          <w:tcPr>
            <w:tcW w:type="dxa" w:w="1050"/>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20–70%</w:t>
            </w:r>
          </w:p>
        </w:tc>
        <w:tc>
          <w:tcPr>
            <w:tcW w:type="dxa" w:w="1200"/>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70–100%</w:t>
            </w:r>
          </w:p>
        </w:tc>
        <w:tc>
          <w:tcPr>
            <w:tcW w:type="dxa" w:w="1150"/>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s8-1</w:t>
            </w:r>
          </w:p>
        </w:tc>
        <w:tc>
          <w:tcPr>
            <w:tcW w:type="dxa" w:w="2676"/>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70 / 85 / 100</w:t>
            </w:r>
          </w:p>
        </w:tc>
      </w:tr>
      <w:tr>
        <w:tc>
          <w:tcPr>
            <w:tcW w:type="dxa" w:w="29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General Budgeting and Cash Flow Management</w:t>
            </w:r>
          </w:p>
        </w:tc>
        <w:tc>
          <w:tcPr>
            <w:tcW w:type="dxa" w:w="10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5–20%</w:t>
            </w:r>
          </w:p>
        </w:tc>
        <w:tc>
          <w:tcPr>
            <w:tcW w:type="dxa" w:w="120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0%</w:t>
            </w:r>
          </w:p>
        </w:tc>
        <w:tc>
          <w:tcPr>
            <w:tcW w:type="dxa" w:w="11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Non-Deductible</w:t>
            </w:r>
          </w:p>
        </w:tc>
        <w:tc>
          <w:tcPr>
            <w:tcW w:type="dxa" w:w="2676"/>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w:t>
            </w:r>
          </w:p>
        </w:tc>
      </w:tr>
      <w:tr>
        <w:tc>
          <w:tcPr>
            <w:tcW w:type="dxa" w:w="29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Maximise Centrelink/DVA Entitlements (Tax Implications)</w:t>
            </w:r>
          </w:p>
        </w:tc>
        <w:tc>
          <w:tcPr>
            <w:tcW w:type="dxa" w:w="10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5–20%</w:t>
            </w:r>
          </w:p>
        </w:tc>
        <w:tc>
          <w:tcPr>
            <w:tcW w:type="dxa" w:w="120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0–80%</w:t>
            </w:r>
          </w:p>
        </w:tc>
        <w:tc>
          <w:tcPr>
            <w:tcW w:type="dxa" w:w="11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s25-5 &amp; s8-1</w:t>
            </w:r>
          </w:p>
        </w:tc>
        <w:tc>
          <w:tcPr>
            <w:tcW w:type="dxa" w:w="2676"/>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40 / 80</w:t>
            </w:r>
          </w:p>
        </w:tc>
      </w:tr>
      <w:tr>
        <w:tc>
          <w:tcPr>
            <w:tcW w:type="dxa" w:w="9026"/>
            <w:gridSpan w:val="5"/>
            <w:shd w:fill="2B6FD6" w:val="clear"/>
            <w:tcMar>
              <w:top w:type="dxa" w:w="60"/>
              <w:left w:type="dxa" w:w="110"/>
              <w:bottom w:type="dxa" w:w="60"/>
              <w:right w:type="dxa" w:w="110"/>
            </w:tcMar>
          </w:tcPr>
          <w:p>
            <w:pPr>
              <w:spacing w:before="0" w:after="0"/>
            </w:pPr>
            <w:r>
              <w:rPr>
                <w:b/>
                <w:bCs/>
                <w:color w:val="FFFFFF"/>
                <w:sz w:val="19"/>
                <w:szCs w:val="19"/>
                <w:rFonts w:ascii="Nunito Sans" w:cs="Nunito Sans" w:eastAsia="Nunito Sans" w:hAnsi="Nunito Sans"/>
              </w:rPr>
              <w:t xml:space="preserve">SMSF</w:t>
            </w:r>
          </w:p>
        </w:tc>
      </w:tr>
      <w:tr>
        <w:tc>
          <w:tcPr>
            <w:tcW w:type="dxa" w:w="29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SMSF Establishment and Structuring Advice</w:t>
            </w:r>
          </w:p>
        </w:tc>
        <w:tc>
          <w:tcPr>
            <w:tcW w:type="dxa" w:w="10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10–30%</w:t>
            </w:r>
          </w:p>
        </w:tc>
        <w:tc>
          <w:tcPr>
            <w:tcW w:type="dxa" w:w="120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0–80%</w:t>
            </w:r>
          </w:p>
        </w:tc>
        <w:tc>
          <w:tcPr>
            <w:tcW w:type="dxa" w:w="11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s25-5</w:t>
            </w:r>
          </w:p>
        </w:tc>
        <w:tc>
          <w:tcPr>
            <w:tcW w:type="dxa" w:w="2676"/>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40 / 80</w:t>
            </w:r>
          </w:p>
        </w:tc>
      </w:tr>
      <w:tr>
        <w:tc>
          <w:tcPr>
            <w:tcW w:type="dxa" w:w="2950"/>
            <w:shd w:fill="FFF3B8" w:val="clear"/>
            <w:tcMar>
              <w:top w:type="dxa" w:w="60"/>
              <w:left w:type="dxa" w:w="110"/>
              <w:bottom w:type="dxa" w:w="60"/>
              <w:right w:type="dxa" w:w="110"/>
            </w:tcMar>
          </w:tcPr>
          <w:p>
            <w:pPr>
              <w:spacing w:before="0" w:after="0" w:line="250"/>
            </w:pPr>
            <w:r>
              <w:rPr>
                <w:b/>
                <w:bCs/>
                <w:color w:val="1a1a1a"/>
                <w:sz w:val="18"/>
                <w:szCs w:val="18"/>
                <w:rFonts w:ascii="Nunito Sans" w:cs="Nunito Sans" w:eastAsia="Nunito Sans" w:hAnsi="Nunito Sans"/>
              </w:rPr>
              <w:t xml:space="preserve">⚠ SMSF Contribution Strategy Advice</w:t>
            </w:r>
          </w:p>
        </w:tc>
        <w:tc>
          <w:tcPr>
            <w:tcW w:type="dxa" w:w="1050"/>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5–20%</w:t>
            </w:r>
          </w:p>
        </w:tc>
        <w:tc>
          <w:tcPr>
            <w:tcW w:type="dxa" w:w="1200"/>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100–100%</w:t>
            </w:r>
          </w:p>
        </w:tc>
        <w:tc>
          <w:tcPr>
            <w:tcW w:type="dxa" w:w="1150"/>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s25-5</w:t>
            </w:r>
          </w:p>
        </w:tc>
        <w:tc>
          <w:tcPr>
            <w:tcW w:type="dxa" w:w="2676"/>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100</w:t>
            </w:r>
          </w:p>
        </w:tc>
      </w:tr>
      <w:tr>
        <w:tc>
          <w:tcPr>
            <w:tcW w:type="dxa" w:w="29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SMSF Pension Strategy Advice (inc. Segregation)</w:t>
            </w:r>
          </w:p>
        </w:tc>
        <w:tc>
          <w:tcPr>
            <w:tcW w:type="dxa" w:w="10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10–30%</w:t>
            </w:r>
          </w:p>
        </w:tc>
        <w:tc>
          <w:tcPr>
            <w:tcW w:type="dxa" w:w="120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80–80%</w:t>
            </w:r>
          </w:p>
        </w:tc>
        <w:tc>
          <w:tcPr>
            <w:tcW w:type="dxa" w:w="11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s25-5</w:t>
            </w:r>
          </w:p>
        </w:tc>
        <w:tc>
          <w:tcPr>
            <w:tcW w:type="dxa" w:w="2676"/>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80</w:t>
            </w:r>
          </w:p>
        </w:tc>
      </w:tr>
      <w:tr>
        <w:tc>
          <w:tcPr>
            <w:tcW w:type="dxa" w:w="2950"/>
            <w:shd w:fill="FFF3B8" w:val="clear"/>
            <w:tcMar>
              <w:top w:type="dxa" w:w="60"/>
              <w:left w:type="dxa" w:w="110"/>
              <w:bottom w:type="dxa" w:w="60"/>
              <w:right w:type="dxa" w:w="110"/>
            </w:tcMar>
          </w:tcPr>
          <w:p>
            <w:pPr>
              <w:spacing w:before="0" w:after="0" w:line="250"/>
            </w:pPr>
            <w:r>
              <w:rPr>
                <w:b/>
                <w:bCs/>
                <w:color w:val="1a1a1a"/>
                <w:sz w:val="18"/>
                <w:szCs w:val="18"/>
                <w:rFonts w:ascii="Nunito Sans" w:cs="Nunito Sans" w:eastAsia="Nunito Sans" w:hAnsi="Nunito Sans"/>
              </w:rPr>
              <w:t xml:space="preserve">⚠ SMSF Investment Strategy (Compliance &amp; Review)</w:t>
            </w:r>
          </w:p>
        </w:tc>
        <w:tc>
          <w:tcPr>
            <w:tcW w:type="dxa" w:w="1050"/>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10–40%</w:t>
            </w:r>
          </w:p>
        </w:tc>
        <w:tc>
          <w:tcPr>
            <w:tcW w:type="dxa" w:w="1200"/>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0–70%</w:t>
            </w:r>
          </w:p>
        </w:tc>
        <w:tc>
          <w:tcPr>
            <w:tcW w:type="dxa" w:w="1150"/>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s25-5</w:t>
            </w:r>
          </w:p>
        </w:tc>
        <w:tc>
          <w:tcPr>
            <w:tcW w:type="dxa" w:w="2676"/>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35 / 70</w:t>
            </w:r>
          </w:p>
        </w:tc>
      </w:tr>
      <w:tr>
        <w:tc>
          <w:tcPr>
            <w:tcW w:type="dxa" w:w="2950"/>
            <w:shd w:fill="FFF3B8" w:val="clear"/>
            <w:tcMar>
              <w:top w:type="dxa" w:w="60"/>
              <w:left w:type="dxa" w:w="110"/>
              <w:bottom w:type="dxa" w:w="60"/>
              <w:right w:type="dxa" w:w="110"/>
            </w:tcMar>
          </w:tcPr>
          <w:p>
            <w:pPr>
              <w:spacing w:before="0" w:after="0" w:line="250"/>
            </w:pPr>
            <w:r>
              <w:rPr>
                <w:b/>
                <w:bCs/>
                <w:color w:val="1a1a1a"/>
                <w:sz w:val="18"/>
                <w:szCs w:val="18"/>
                <w:rFonts w:ascii="Nunito Sans" w:cs="Nunito Sans" w:eastAsia="Nunito Sans" w:hAnsi="Nunito Sans"/>
              </w:rPr>
              <w:t xml:space="preserve">⚠ SMSF Borrowing / Limited Recourse Borrowing Arrangement (LRBA)</w:t>
            </w:r>
          </w:p>
        </w:tc>
        <w:tc>
          <w:tcPr>
            <w:tcW w:type="dxa" w:w="1050"/>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10–30%</w:t>
            </w:r>
          </w:p>
        </w:tc>
        <w:tc>
          <w:tcPr>
            <w:tcW w:type="dxa" w:w="1200"/>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0%</w:t>
            </w:r>
          </w:p>
        </w:tc>
        <w:tc>
          <w:tcPr>
            <w:tcW w:type="dxa" w:w="1150"/>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Non-Deductible</w:t>
            </w:r>
          </w:p>
        </w:tc>
        <w:tc>
          <w:tcPr>
            <w:tcW w:type="dxa" w:w="2676"/>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w:t>
            </w:r>
          </w:p>
        </w:tc>
      </w:tr>
      <w:tr>
        <w:tc>
          <w:tcPr>
            <w:tcW w:type="dxa" w:w="2950"/>
            <w:shd w:fill="FFF3B8" w:val="clear"/>
            <w:tcMar>
              <w:top w:type="dxa" w:w="60"/>
              <w:left w:type="dxa" w:w="110"/>
              <w:bottom w:type="dxa" w:w="60"/>
              <w:right w:type="dxa" w:w="110"/>
            </w:tcMar>
          </w:tcPr>
          <w:p>
            <w:pPr>
              <w:spacing w:before="0" w:after="0" w:line="250"/>
            </w:pPr>
            <w:r>
              <w:rPr>
                <w:b/>
                <w:bCs/>
                <w:color w:val="1a1a1a"/>
                <w:sz w:val="18"/>
                <w:szCs w:val="18"/>
                <w:rFonts w:ascii="Nunito Sans" w:cs="Nunito Sans" w:eastAsia="Nunito Sans" w:hAnsi="Nunito Sans"/>
              </w:rPr>
              <w:t xml:space="preserve">⚠ Advice on Winding Up an SMSF</w:t>
            </w:r>
          </w:p>
        </w:tc>
        <w:tc>
          <w:tcPr>
            <w:tcW w:type="dxa" w:w="1050"/>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5–20%</w:t>
            </w:r>
          </w:p>
        </w:tc>
        <w:tc>
          <w:tcPr>
            <w:tcW w:type="dxa" w:w="1200"/>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0–20%</w:t>
            </w:r>
          </w:p>
        </w:tc>
        <w:tc>
          <w:tcPr>
            <w:tcW w:type="dxa" w:w="1150"/>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s25-5</w:t>
            </w:r>
          </w:p>
        </w:tc>
        <w:tc>
          <w:tcPr>
            <w:tcW w:type="dxa" w:w="2676"/>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10 / 20</w:t>
            </w:r>
          </w:p>
        </w:tc>
      </w:tr>
      <w:tr>
        <w:tc>
          <w:tcPr>
            <w:tcW w:type="dxa" w:w="9026"/>
            <w:gridSpan w:val="5"/>
            <w:shd w:fill="2B6FD6" w:val="clear"/>
            <w:tcMar>
              <w:top w:type="dxa" w:w="60"/>
              <w:left w:type="dxa" w:w="110"/>
              <w:bottom w:type="dxa" w:w="60"/>
              <w:right w:type="dxa" w:w="110"/>
            </w:tcMar>
          </w:tcPr>
          <w:p>
            <w:pPr>
              <w:spacing w:before="0" w:after="0"/>
            </w:pPr>
            <w:r>
              <w:rPr>
                <w:b/>
                <w:bCs/>
                <w:color w:val="FFFFFF"/>
                <w:sz w:val="19"/>
                <w:szCs w:val="19"/>
                <w:rFonts w:ascii="Nunito Sans" w:cs="Nunito Sans" w:eastAsia="Nunito Sans" w:hAnsi="Nunito Sans"/>
              </w:rPr>
              <w:t xml:space="preserve">Estate &amp; Business</w:t>
            </w:r>
          </w:p>
        </w:tc>
      </w:tr>
      <w:tr>
        <w:tc>
          <w:tcPr>
            <w:tcW w:type="dxa" w:w="29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Estate Planning Advice (e.g., Testamentary Trusts)</w:t>
            </w:r>
          </w:p>
        </w:tc>
        <w:tc>
          <w:tcPr>
            <w:tcW w:type="dxa" w:w="10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10–30%</w:t>
            </w:r>
          </w:p>
        </w:tc>
        <w:tc>
          <w:tcPr>
            <w:tcW w:type="dxa" w:w="120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0%</w:t>
            </w:r>
          </w:p>
        </w:tc>
        <w:tc>
          <w:tcPr>
            <w:tcW w:type="dxa" w:w="11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Non-Deductible</w:t>
            </w:r>
          </w:p>
        </w:tc>
        <w:tc>
          <w:tcPr>
            <w:tcW w:type="dxa" w:w="2676"/>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w:t>
            </w:r>
          </w:p>
        </w:tc>
      </w:tr>
      <w:tr>
        <w:tc>
          <w:tcPr>
            <w:tcW w:type="dxa" w:w="29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Advice on Death Benefit Nominations (Super)</w:t>
            </w:r>
          </w:p>
        </w:tc>
        <w:tc>
          <w:tcPr>
            <w:tcW w:type="dxa" w:w="10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5–15%</w:t>
            </w:r>
          </w:p>
        </w:tc>
        <w:tc>
          <w:tcPr>
            <w:tcW w:type="dxa" w:w="120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0%</w:t>
            </w:r>
          </w:p>
        </w:tc>
        <w:tc>
          <w:tcPr>
            <w:tcW w:type="dxa" w:w="1150"/>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Non-Deductible</w:t>
            </w:r>
          </w:p>
        </w:tc>
        <w:tc>
          <w:tcPr>
            <w:tcW w:type="dxa" w:w="2676"/>
            <w:shd w:fill="EAF4FB"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w:t>
            </w:r>
          </w:p>
        </w:tc>
      </w:tr>
      <w:tr>
        <w:tc>
          <w:tcPr>
            <w:tcW w:type="dxa" w:w="2950"/>
            <w:shd w:fill="FFF3B8" w:val="clear"/>
            <w:tcMar>
              <w:top w:type="dxa" w:w="60"/>
              <w:left w:type="dxa" w:w="110"/>
              <w:bottom w:type="dxa" w:w="60"/>
              <w:right w:type="dxa" w:w="110"/>
            </w:tcMar>
          </w:tcPr>
          <w:p>
            <w:pPr>
              <w:spacing w:before="0" w:after="0" w:line="250"/>
            </w:pPr>
            <w:r>
              <w:rPr>
                <w:b/>
                <w:bCs/>
                <w:color w:val="1a1a1a"/>
                <w:sz w:val="18"/>
                <w:szCs w:val="18"/>
                <w:rFonts w:ascii="Nunito Sans" w:cs="Nunito Sans" w:eastAsia="Nunito Sans" w:hAnsi="Nunito Sans"/>
              </w:rPr>
              <w:t xml:space="preserve">⚠ Business Succession Planning (Tax Implications)</w:t>
            </w:r>
          </w:p>
        </w:tc>
        <w:tc>
          <w:tcPr>
            <w:tcW w:type="dxa" w:w="1050"/>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10–30%</w:t>
            </w:r>
          </w:p>
        </w:tc>
        <w:tc>
          <w:tcPr>
            <w:tcW w:type="dxa" w:w="1200"/>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0–40%</w:t>
            </w:r>
          </w:p>
        </w:tc>
        <w:tc>
          <w:tcPr>
            <w:tcW w:type="dxa" w:w="1150"/>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s25-5</w:t>
            </w:r>
          </w:p>
        </w:tc>
        <w:tc>
          <w:tcPr>
            <w:tcW w:type="dxa" w:w="2676"/>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20 / 40</w:t>
            </w:r>
          </w:p>
        </w:tc>
      </w:tr>
      <w:tr>
        <w:tc>
          <w:tcPr>
            <w:tcW w:type="dxa" w:w="2950"/>
            <w:shd w:fill="FFF3B8" w:val="clear"/>
            <w:tcMar>
              <w:top w:type="dxa" w:w="60"/>
              <w:left w:type="dxa" w:w="110"/>
              <w:bottom w:type="dxa" w:w="60"/>
              <w:right w:type="dxa" w:w="110"/>
            </w:tcMar>
          </w:tcPr>
          <w:p>
            <w:pPr>
              <w:spacing w:before="0" w:after="0" w:line="250"/>
            </w:pPr>
            <w:r>
              <w:rPr>
                <w:b/>
                <w:bCs/>
                <w:color w:val="1a1a1a"/>
                <w:sz w:val="18"/>
                <w:szCs w:val="18"/>
                <w:rFonts w:ascii="Nunito Sans" w:cs="Nunito Sans" w:eastAsia="Nunito Sans" w:hAnsi="Nunito Sans"/>
              </w:rPr>
              <w:t xml:space="preserve">⚠ Small Business CGT Concessions Advice</w:t>
            </w:r>
          </w:p>
        </w:tc>
        <w:tc>
          <w:tcPr>
            <w:tcW w:type="dxa" w:w="1050"/>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5–20%</w:t>
            </w:r>
          </w:p>
        </w:tc>
        <w:tc>
          <w:tcPr>
            <w:tcW w:type="dxa" w:w="1200"/>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70–100%</w:t>
            </w:r>
          </w:p>
        </w:tc>
        <w:tc>
          <w:tcPr>
            <w:tcW w:type="dxa" w:w="1150"/>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s25-5</w:t>
            </w:r>
          </w:p>
        </w:tc>
        <w:tc>
          <w:tcPr>
            <w:tcW w:type="dxa" w:w="2676"/>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70 / 85 / 100</w:t>
            </w:r>
          </w:p>
        </w:tc>
      </w:tr>
      <w:tr>
        <w:tc>
          <w:tcPr>
            <w:tcW w:type="dxa" w:w="9026"/>
            <w:gridSpan w:val="5"/>
            <w:shd w:fill="2B6FD6" w:val="clear"/>
            <w:tcMar>
              <w:top w:type="dxa" w:w="60"/>
              <w:left w:type="dxa" w:w="110"/>
              <w:bottom w:type="dxa" w:w="60"/>
              <w:right w:type="dxa" w:w="110"/>
            </w:tcMar>
          </w:tcPr>
          <w:p>
            <w:pPr>
              <w:spacing w:before="0" w:after="0"/>
            </w:pPr>
            <w:r>
              <w:rPr>
                <w:b/>
                <w:bCs/>
                <w:color w:val="FFFFFF"/>
                <w:sz w:val="19"/>
                <w:szCs w:val="19"/>
                <w:rFonts w:ascii="Nunito Sans" w:cs="Nunito Sans" w:eastAsia="Nunito Sans" w:hAnsi="Nunito Sans"/>
              </w:rPr>
              <w:t xml:space="preserve">General</w:t>
            </w:r>
          </w:p>
        </w:tc>
      </w:tr>
      <w:tr>
        <w:tc>
          <w:tcPr>
            <w:tcW w:type="dxa" w:w="29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Financial Modelling &amp; Tax Projections</w:t>
            </w:r>
          </w:p>
        </w:tc>
        <w:tc>
          <w:tcPr>
            <w:tcW w:type="dxa" w:w="10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5–15%</w:t>
            </w:r>
          </w:p>
        </w:tc>
        <w:tc>
          <w:tcPr>
            <w:tcW w:type="dxa" w:w="120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100–100%</w:t>
            </w:r>
          </w:p>
        </w:tc>
        <w:tc>
          <w:tcPr>
            <w:tcW w:type="dxa" w:w="1150"/>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s25-5</w:t>
            </w:r>
          </w:p>
        </w:tc>
        <w:tc>
          <w:tcPr>
            <w:tcW w:type="dxa" w:w="2676"/>
            <w:shd w:fill="E5F4F6"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100</w:t>
            </w:r>
          </w:p>
        </w:tc>
      </w:tr>
    </w:tbl>
    <w:p>
      <w:pPr>
        <w:pStyle w:val="Heading1"/>
        <w:spacing w:before="240" w:after="90"/>
      </w:pPr>
      <w:r>
        <w:rPr>
          <w:b/>
          <w:bCs/>
          <w:color w:val="0C2E3F"/>
          <w:sz w:val="28"/>
          <w:szCs w:val="28"/>
          <w:rFonts w:ascii="ABC Arizona Flare" w:cs="ABC Arizona Flare" w:eastAsia="ABC Arizona Flare" w:hAnsi="ABC Arizona Flare"/>
        </w:rPr>
        <w:t xml:space="preserve">Items Requiring Manual Review — No Direct Exemplar</w:t>
      </w:r>
    </w:p>
    <w:p>
      <w:pPr>
        <w:spacing w:before="30" w:after="70" w:line="266"/>
      </w:pPr>
      <w:r>
        <w:rPr>
          <w:b w:val="false"/>
          <w:bCs w:val="false"/>
          <w:i w:val="false"/>
          <w:iCs w:val="false"/>
          <w:color w:val="1a1a1a"/>
          <w:sz w:val="19"/>
          <w:szCs w:val="19"/>
          <w:rFonts w:ascii="Nunito Sans" w:cs="Nunito Sans" w:eastAsia="Nunito Sans" w:hAnsi="Nunito Sans"/>
        </w:rPr>
        <w:t xml:space="preserve">Every setting below is a house decision or an analogy, not a value taken from an exemplar. The team should review and approve each one (or supply an exemplar covering it).</w:t>
      </w:r>
    </w:p>
    <w:tbl>
      <w:tblPr>
        <w:tblW w:type="dxa" w:w="9026"/>
        <w:tblBorders>
          <w:top w:val="single" w:color="D4E2EE" w:sz="4"/>
          <w:left w:val="single" w:color="D4E2EE" w:sz="4"/>
          <w:bottom w:val="single" w:color="D4E2EE" w:sz="4"/>
          <w:right w:val="single" w:color="D4E2EE" w:sz="4"/>
          <w:insideH w:val="single" w:color="D4E2EE" w:sz="4"/>
          <w:insideV w:val="single" w:color="D4E2EE" w:sz="4"/>
        </w:tblBorders>
      </w:tblPr>
      <w:tblGrid>
        <w:gridCol w:w="3100"/>
        <w:gridCol w:w="1500"/>
        <w:gridCol w:w="4426"/>
      </w:tblGrid>
      <w:tr>
        <w:trPr>
          <w:tblHeader/>
        </w:trPr>
        <w:tc>
          <w:tcPr>
            <w:tcW w:type="dxa" w:w="3100"/>
            <w:shd w:fill="0C2E3F" w:val="clear"/>
            <w:tcMar>
              <w:top w:type="dxa" w:w="60"/>
              <w:left w:type="dxa" w:w="110"/>
              <w:bottom w:type="dxa" w:w="60"/>
              <w:right w:type="dxa" w:w="110"/>
            </w:tcMar>
          </w:tcPr>
          <w:p>
            <w:pPr>
              <w:spacing w:before="0" w:after="0" w:line="250"/>
            </w:pPr>
            <w:r>
              <w:rPr>
                <w:b/>
                <w:bCs/>
                <w:color w:val="FFFFFF"/>
                <w:sz w:val="18"/>
                <w:szCs w:val="18"/>
                <w:rFonts w:ascii="Nunito Sans" w:cs="Nunito Sans" w:eastAsia="Nunito Sans" w:hAnsi="Nunito Sans"/>
              </w:rPr>
              <w:t xml:space="preserve">Strategy</w:t>
            </w:r>
          </w:p>
        </w:tc>
        <w:tc>
          <w:tcPr>
            <w:tcW w:type="dxa" w:w="1500"/>
            <w:shd w:fill="0C2E3F" w:val="clear"/>
            <w:tcMar>
              <w:top w:type="dxa" w:w="60"/>
              <w:left w:type="dxa" w:w="110"/>
              <w:bottom w:type="dxa" w:w="60"/>
              <w:right w:type="dxa" w:w="110"/>
            </w:tcMar>
          </w:tcPr>
          <w:p>
            <w:pPr>
              <w:spacing w:before="0" w:after="0" w:line="250"/>
            </w:pPr>
            <w:r>
              <w:rPr>
                <w:b/>
                <w:bCs/>
                <w:color w:val="FFFFFF"/>
                <w:sz w:val="18"/>
                <w:szCs w:val="18"/>
                <w:rFonts w:ascii="Nunito Sans" w:cs="Nunito Sans" w:eastAsia="Nunito Sans" w:hAnsi="Nunito Sans"/>
              </w:rPr>
              <w:t xml:space="preserve">Setting</w:t>
            </w:r>
          </w:p>
        </w:tc>
        <w:tc>
          <w:tcPr>
            <w:tcW w:type="dxa" w:w="4426"/>
            <w:shd w:fill="0C2E3F" w:val="clear"/>
            <w:tcMar>
              <w:top w:type="dxa" w:w="60"/>
              <w:left w:type="dxa" w:w="110"/>
              <w:bottom w:type="dxa" w:w="60"/>
              <w:right w:type="dxa" w:w="110"/>
            </w:tcMar>
          </w:tcPr>
          <w:p>
            <w:pPr>
              <w:spacing w:before="0" w:after="0" w:line="250"/>
            </w:pPr>
            <w:r>
              <w:rPr>
                <w:b/>
                <w:bCs/>
                <w:color w:val="FFFFFF"/>
                <w:sz w:val="18"/>
                <w:szCs w:val="18"/>
                <w:rFonts w:ascii="Nunito Sans" w:cs="Nunito Sans" w:eastAsia="Nunito Sans" w:hAnsi="Nunito Sans"/>
              </w:rPr>
              <w:t xml:space="preserve">Basis / what to review</w:t>
            </w:r>
          </w:p>
        </w:tc>
      </w:tr>
      <w:tr>
        <w:tc>
          <w:tcPr>
            <w:tcW w:type="dxa" w:w="3100"/>
            <w:shd w:fill="FFF3B8" w:val="clear"/>
            <w:tcMar>
              <w:top w:type="dxa" w:w="60"/>
              <w:left w:type="dxa" w:w="110"/>
              <w:bottom w:type="dxa" w:w="60"/>
              <w:right w:type="dxa" w:w="110"/>
            </w:tcMar>
          </w:tcPr>
          <w:p>
            <w:pPr>
              <w:spacing w:before="0" w:after="0" w:line="250"/>
            </w:pPr>
            <w:r>
              <w:rPr>
                <w:b/>
                <w:bCs/>
                <w:color w:val="1a1a1a"/>
                <w:sz w:val="18"/>
                <w:szCs w:val="18"/>
                <w:rFonts w:ascii="Nunito Sans" w:cs="Nunito Sans" w:eastAsia="Nunito Sans" w:hAnsi="Nunito Sans"/>
              </w:rPr>
              <w:t xml:space="preserve">Spouse Contributions / Contribution Splitting</w:t>
            </w:r>
          </w:p>
        </w:tc>
        <w:tc>
          <w:tcPr>
            <w:tcW w:type="dxa" w:w="1500"/>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0–30% · s25-5</w:t>
            </w:r>
          </w:p>
        </w:tc>
        <w:tc>
          <w:tcPr>
            <w:tcW w:type="dxa" w:w="4426"/>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No exemplar. Conservative 0–30% house range.</w:t>
            </w:r>
          </w:p>
        </w:tc>
      </w:tr>
      <w:tr>
        <w:tc>
          <w:tcPr>
            <w:tcW w:type="dxa" w:w="3100"/>
            <w:shd w:fill="FFF3B8" w:val="clear"/>
            <w:tcMar>
              <w:top w:type="dxa" w:w="60"/>
              <w:left w:type="dxa" w:w="110"/>
              <w:bottom w:type="dxa" w:w="60"/>
              <w:right w:type="dxa" w:w="110"/>
            </w:tcMar>
          </w:tcPr>
          <w:p>
            <w:pPr>
              <w:spacing w:before="0" w:after="0" w:line="250"/>
            </w:pPr>
            <w:r>
              <w:rPr>
                <w:b/>
                <w:bCs/>
                <w:color w:val="1a1a1a"/>
                <w:sz w:val="18"/>
                <w:szCs w:val="18"/>
                <w:rFonts w:ascii="Nunito Sans" w:cs="Nunito Sans" w:eastAsia="Nunito Sans" w:hAnsi="Nunito Sans"/>
              </w:rPr>
              <w:t xml:space="preserve">Downsizer Contributions</w:t>
            </w:r>
          </w:p>
        </w:tc>
        <w:tc>
          <w:tcPr>
            <w:tcW w:type="dxa" w:w="1500"/>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0–20% · s25-5</w:t>
            </w:r>
          </w:p>
        </w:tc>
        <w:tc>
          <w:tcPr>
            <w:tcW w:type="dxa" w:w="4426"/>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No exemplar. Conservative 0–20% house range (external review concurs).</w:t>
            </w:r>
          </w:p>
        </w:tc>
      </w:tr>
      <w:tr>
        <w:tc>
          <w:tcPr>
            <w:tcW w:type="dxa" w:w="3100"/>
            <w:shd w:fill="FFF3B8" w:val="clear"/>
            <w:tcMar>
              <w:top w:type="dxa" w:w="60"/>
              <w:left w:type="dxa" w:w="110"/>
              <w:bottom w:type="dxa" w:w="60"/>
              <w:right w:type="dxa" w:w="110"/>
            </w:tcMar>
          </w:tcPr>
          <w:p>
            <w:pPr>
              <w:spacing w:before="0" w:after="0" w:line="250"/>
            </w:pPr>
            <w:r>
              <w:rPr>
                <w:b/>
                <w:bCs/>
                <w:color w:val="1a1a1a"/>
                <w:sz w:val="18"/>
                <w:szCs w:val="18"/>
                <w:rFonts w:ascii="Nunito Sans" w:cs="Nunito Sans" w:eastAsia="Nunito Sans" w:hAnsi="Nunito Sans"/>
              </w:rPr>
              <w:t xml:space="preserve">Re-contribution Strategy</w:t>
            </w:r>
          </w:p>
        </w:tc>
        <w:tc>
          <w:tcPr>
            <w:tcW w:type="dxa" w:w="1500"/>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0–30% · s25-5</w:t>
            </w:r>
          </w:p>
        </w:tc>
        <w:tc>
          <w:tcPr>
            <w:tcW w:type="dxa" w:w="4426"/>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No exemplar. Conservative 0–30% house range (external review concurs).</w:t>
            </w:r>
          </w:p>
        </w:tc>
      </w:tr>
      <w:tr>
        <w:tc>
          <w:tcPr>
            <w:tcW w:type="dxa" w:w="3100"/>
            <w:shd w:fill="FFF3B8" w:val="clear"/>
            <w:tcMar>
              <w:top w:type="dxa" w:w="60"/>
              <w:left w:type="dxa" w:w="110"/>
              <w:bottom w:type="dxa" w:w="60"/>
              <w:right w:type="dxa" w:w="110"/>
            </w:tcMar>
          </w:tcPr>
          <w:p>
            <w:pPr>
              <w:spacing w:before="0" w:after="0" w:line="250"/>
            </w:pPr>
            <w:r>
              <w:rPr>
                <w:b/>
                <w:bCs/>
                <w:color w:val="1a1a1a"/>
                <w:sz w:val="18"/>
                <w:szCs w:val="18"/>
                <w:rFonts w:ascii="Nunito Sans" w:cs="Nunito Sans" w:eastAsia="Nunito Sans" w:hAnsi="Nunito Sans"/>
              </w:rPr>
              <w:t xml:space="preserve">Commencement of a Transition to Retirement (TTR)</w:t>
            </w:r>
          </w:p>
        </w:tc>
        <w:tc>
          <w:tcPr>
            <w:tcW w:type="dxa" w:w="1500"/>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80–80% · s25-5</w:t>
            </w:r>
          </w:p>
        </w:tc>
        <w:tc>
          <w:tcPr>
            <w:tcW w:type="dxa" w:w="4426"/>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No TTR exemplar — 80% set by ANALOGY to the exemplified ABP treatment.</w:t>
            </w:r>
          </w:p>
        </w:tc>
      </w:tr>
      <w:tr>
        <w:tc>
          <w:tcPr>
            <w:tcW w:type="dxa" w:w="3100"/>
            <w:shd w:fill="FFF3B8" w:val="clear"/>
            <w:tcMar>
              <w:top w:type="dxa" w:w="60"/>
              <w:left w:type="dxa" w:w="110"/>
              <w:bottom w:type="dxa" w:w="60"/>
              <w:right w:type="dxa" w:w="110"/>
            </w:tcMar>
          </w:tcPr>
          <w:p>
            <w:pPr>
              <w:spacing w:before="0" w:after="0" w:line="250"/>
            </w:pPr>
            <w:r>
              <w:rPr>
                <w:b/>
                <w:bCs/>
                <w:color w:val="1a1a1a"/>
                <w:sz w:val="18"/>
                <w:szCs w:val="18"/>
                <w:rFonts w:ascii="Nunito Sans" w:cs="Nunito Sans" w:eastAsia="Nunito Sans" w:hAnsi="Nunito Sans"/>
              </w:rPr>
              <w:t xml:space="preserve">Consolidate Multiple Superannuation Accounts</w:t>
            </w:r>
          </w:p>
        </w:tc>
        <w:tc>
          <w:tcPr>
            <w:tcW w:type="dxa" w:w="1500"/>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0–10% · s25-5</w:t>
            </w:r>
          </w:p>
        </w:tc>
        <w:tc>
          <w:tcPr>
            <w:tcW w:type="dxa" w:w="4426"/>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No exemplar. Conservative 0–10% house range.</w:t>
            </w:r>
          </w:p>
        </w:tc>
      </w:tr>
      <w:tr>
        <w:tc>
          <w:tcPr>
            <w:tcW w:type="dxa" w:w="3100"/>
            <w:shd w:fill="FFF3B8" w:val="clear"/>
            <w:tcMar>
              <w:top w:type="dxa" w:w="60"/>
              <w:left w:type="dxa" w:w="110"/>
              <w:bottom w:type="dxa" w:w="60"/>
              <w:right w:type="dxa" w:w="110"/>
            </w:tcMar>
          </w:tcPr>
          <w:p>
            <w:pPr>
              <w:spacing w:before="0" w:after="0" w:line="250"/>
            </w:pPr>
            <w:r>
              <w:rPr>
                <w:b/>
                <w:bCs/>
                <w:color w:val="1a1a1a"/>
                <w:sz w:val="18"/>
                <w:szCs w:val="18"/>
                <w:rFonts w:ascii="Nunito Sans" w:cs="Nunito Sans" w:eastAsia="Nunito Sans" w:hAnsi="Nunito Sans"/>
              </w:rPr>
              <w:t xml:space="preserve">Investment Portfolio Review &amp; Rebalancing</w:t>
            </w:r>
          </w:p>
        </w:tc>
        <w:tc>
          <w:tcPr>
            <w:tcW w:type="dxa" w:w="1500"/>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70–80% · s25-5 &amp; s8-1</w:t>
            </w:r>
          </w:p>
        </w:tc>
        <w:tc>
          <w:tcPr>
            <w:tcW w:type="dxa" w:w="4426"/>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No named exemplar row — 70–80% by analogy: treated as the exemplified review of existing income-producing investments.</w:t>
            </w:r>
          </w:p>
        </w:tc>
      </w:tr>
      <w:tr>
        <w:tc>
          <w:tcPr>
            <w:tcW w:type="dxa" w:w="3100"/>
            <w:shd w:fill="FFF3B8" w:val="clear"/>
            <w:tcMar>
              <w:top w:type="dxa" w:w="60"/>
              <w:left w:type="dxa" w:w="110"/>
              <w:bottom w:type="dxa" w:w="60"/>
              <w:right w:type="dxa" w:w="110"/>
            </w:tcMar>
          </w:tcPr>
          <w:p>
            <w:pPr>
              <w:spacing w:before="0" w:after="0" w:line="250"/>
            </w:pPr>
            <w:r>
              <w:rPr>
                <w:b/>
                <w:bCs/>
                <w:color w:val="1a1a1a"/>
                <w:sz w:val="18"/>
                <w:szCs w:val="18"/>
                <w:rFonts w:ascii="Nunito Sans" w:cs="Nunito Sans" w:eastAsia="Nunito Sans" w:hAnsi="Nunito Sans"/>
              </w:rPr>
              <w:t xml:space="preserve">Gearing Strategy Advice (Deductible Debt)</w:t>
            </w:r>
          </w:p>
        </w:tc>
        <w:tc>
          <w:tcPr>
            <w:tcW w:type="dxa" w:w="1500"/>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70–100% · s8-1</w:t>
            </w:r>
          </w:p>
        </w:tc>
        <w:tc>
          <w:tcPr>
            <w:tcW w:type="dxa" w:w="4426"/>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No exemplar — 70–100% is a HOUSE DECISION (debt structuring: investment property/share loans, refinancing). Nearest exemplar figure for any debt-adjacent advice is offset structuring at 20%.</w:t>
            </w:r>
          </w:p>
        </w:tc>
      </w:tr>
      <w:tr>
        <w:tc>
          <w:tcPr>
            <w:tcW w:type="dxa" w:w="3100"/>
            <w:shd w:fill="FFF3B8" w:val="clear"/>
            <w:tcMar>
              <w:top w:type="dxa" w:w="60"/>
              <w:left w:type="dxa" w:w="110"/>
              <w:bottom w:type="dxa" w:w="60"/>
              <w:right w:type="dxa" w:w="110"/>
            </w:tcMar>
          </w:tcPr>
          <w:p>
            <w:pPr>
              <w:spacing w:before="0" w:after="0" w:line="250"/>
            </w:pPr>
            <w:r>
              <w:rPr>
                <w:b/>
                <w:bCs/>
                <w:color w:val="1a1a1a"/>
                <w:sz w:val="18"/>
                <w:szCs w:val="18"/>
                <w:rFonts w:ascii="Nunito Sans" w:cs="Nunito Sans" w:eastAsia="Nunito Sans" w:hAnsi="Nunito Sans"/>
              </w:rPr>
              <w:t xml:space="preserve">ETF Investment Advice (related to existing portfolio)</w:t>
            </w:r>
          </w:p>
        </w:tc>
        <w:tc>
          <w:tcPr>
            <w:tcW w:type="dxa" w:w="1500"/>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70–80% · s25-5 &amp; s8-1</w:t>
            </w:r>
          </w:p>
        </w:tc>
        <w:tc>
          <w:tcPr>
            <w:tcW w:type="dxa" w:w="4426"/>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No named exemplar row — 70–80% by analogy to the exemplified existing-investment review.</w:t>
            </w:r>
          </w:p>
        </w:tc>
      </w:tr>
      <w:tr>
        <w:tc>
          <w:tcPr>
            <w:tcW w:type="dxa" w:w="3100"/>
            <w:shd w:fill="FFF3B8" w:val="clear"/>
            <w:tcMar>
              <w:top w:type="dxa" w:w="60"/>
              <w:left w:type="dxa" w:w="110"/>
              <w:bottom w:type="dxa" w:w="60"/>
              <w:right w:type="dxa" w:w="110"/>
            </w:tcMar>
          </w:tcPr>
          <w:p>
            <w:pPr>
              <w:spacing w:before="0" w:after="0" w:line="250"/>
            </w:pPr>
            <w:r>
              <w:rPr>
                <w:b/>
                <w:bCs/>
                <w:color w:val="1a1a1a"/>
                <w:sz w:val="18"/>
                <w:szCs w:val="18"/>
                <w:rFonts w:ascii="Nunito Sans" w:cs="Nunito Sans" w:eastAsia="Nunito Sans" w:hAnsi="Nunito Sans"/>
              </w:rPr>
              <w:t xml:space="preserve">Managed Fund / LIC Investment Review</w:t>
            </w:r>
          </w:p>
        </w:tc>
        <w:tc>
          <w:tcPr>
            <w:tcW w:type="dxa" w:w="1500"/>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70–80% · s25-5 &amp; s8-1</w:t>
            </w:r>
          </w:p>
        </w:tc>
        <w:tc>
          <w:tcPr>
            <w:tcW w:type="dxa" w:w="4426"/>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No named exemplar row — 70–80% by analogy to the exemplified existing-investment review.</w:t>
            </w:r>
          </w:p>
        </w:tc>
      </w:tr>
      <w:tr>
        <w:tc>
          <w:tcPr>
            <w:tcW w:type="dxa" w:w="3100"/>
            <w:shd w:fill="FFF3B8" w:val="clear"/>
            <w:tcMar>
              <w:top w:type="dxa" w:w="60"/>
              <w:left w:type="dxa" w:w="110"/>
              <w:bottom w:type="dxa" w:w="60"/>
              <w:right w:type="dxa" w:w="110"/>
            </w:tcMar>
          </w:tcPr>
          <w:p>
            <w:pPr>
              <w:spacing w:before="0" w:after="0" w:line="250"/>
            </w:pPr>
            <w:r>
              <w:rPr>
                <w:b/>
                <w:bCs/>
                <w:color w:val="1a1a1a"/>
                <w:sz w:val="18"/>
                <w:szCs w:val="18"/>
                <w:rFonts w:ascii="Nunito Sans" w:cs="Nunito Sans" w:eastAsia="Nunito Sans" w:hAnsi="Nunito Sans"/>
              </w:rPr>
              <w:t xml:space="preserve">Tax-Loss Harvesting Strategy</w:t>
            </w:r>
          </w:p>
        </w:tc>
        <w:tc>
          <w:tcPr>
            <w:tcW w:type="dxa" w:w="1500"/>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80–100% · s25-5</w:t>
            </w:r>
          </w:p>
        </w:tc>
        <w:tc>
          <w:tcPr>
            <w:tcW w:type="dxa" w:w="4426"/>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No exemplar. 80–100% rests on the CGT-management reasoning of s25-5 alone.</w:t>
            </w:r>
          </w:p>
        </w:tc>
      </w:tr>
      <w:tr>
        <w:tc>
          <w:tcPr>
            <w:tcW w:type="dxa" w:w="3100"/>
            <w:shd w:fill="FFF3B8" w:val="clear"/>
            <w:tcMar>
              <w:top w:type="dxa" w:w="60"/>
              <w:left w:type="dxa" w:w="110"/>
              <w:bottom w:type="dxa" w:w="60"/>
              <w:right w:type="dxa" w:w="110"/>
            </w:tcMar>
          </w:tcPr>
          <w:p>
            <w:pPr>
              <w:spacing w:before="0" w:after="0" w:line="250"/>
            </w:pPr>
            <w:r>
              <w:rPr>
                <w:b/>
                <w:bCs/>
                <w:color w:val="1a1a1a"/>
                <w:sz w:val="18"/>
                <w:szCs w:val="18"/>
                <w:rFonts w:ascii="Nunito Sans" w:cs="Nunito Sans" w:eastAsia="Nunito Sans" w:hAnsi="Nunito Sans"/>
              </w:rPr>
              <w:t xml:space="preserve">Income Protection Insurance (held via superannuation)</w:t>
            </w:r>
          </w:p>
        </w:tc>
        <w:tc>
          <w:tcPr>
            <w:tcW w:type="dxa" w:w="1500"/>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0–20% · s25-5</w:t>
            </w:r>
          </w:p>
        </w:tc>
        <w:tc>
          <w:tcPr>
            <w:tcW w:type="dxa" w:w="4426"/>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No standalone exemplar (the 65% exemplar line is a blend). Conservative 0–20% house range.</w:t>
            </w:r>
          </w:p>
        </w:tc>
      </w:tr>
      <w:tr>
        <w:tc>
          <w:tcPr>
            <w:tcW w:type="dxa" w:w="3100"/>
            <w:shd w:fill="FFF3B8" w:val="clear"/>
            <w:tcMar>
              <w:top w:type="dxa" w:w="60"/>
              <w:left w:type="dxa" w:w="110"/>
              <w:bottom w:type="dxa" w:w="60"/>
              <w:right w:type="dxa" w:w="110"/>
            </w:tcMar>
          </w:tcPr>
          <w:p>
            <w:pPr>
              <w:spacing w:before="0" w:after="0" w:line="250"/>
            </w:pPr>
            <w:r>
              <w:rPr>
                <w:b/>
                <w:bCs/>
                <w:color w:val="1a1a1a"/>
                <w:sz w:val="18"/>
                <w:szCs w:val="18"/>
                <w:rFonts w:ascii="Nunito Sans" w:cs="Nunito Sans" w:eastAsia="Nunito Sans" w:hAnsi="Nunito Sans"/>
              </w:rPr>
              <w:t xml:space="preserve">Advice on Structuring Insurance Inside vs. Outside Super</w:t>
            </w:r>
          </w:p>
        </w:tc>
        <w:tc>
          <w:tcPr>
            <w:tcW w:type="dxa" w:w="1500"/>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0–30% · s25-5</w:t>
            </w:r>
          </w:p>
        </w:tc>
        <w:tc>
          <w:tcPr>
            <w:tcW w:type="dxa" w:w="4426"/>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No exemplar. Conservative 0–30% house range.</w:t>
            </w:r>
          </w:p>
        </w:tc>
      </w:tr>
      <w:tr>
        <w:tc>
          <w:tcPr>
            <w:tcW w:type="dxa" w:w="3100"/>
            <w:shd w:fill="FFF3B8" w:val="clear"/>
            <w:tcMar>
              <w:top w:type="dxa" w:w="60"/>
              <w:left w:type="dxa" w:w="110"/>
              <w:bottom w:type="dxa" w:w="60"/>
              <w:right w:type="dxa" w:w="110"/>
            </w:tcMar>
          </w:tcPr>
          <w:p>
            <w:pPr>
              <w:spacing w:before="0" w:after="0" w:line="250"/>
            </w:pPr>
            <w:r>
              <w:rPr>
                <w:b/>
                <w:bCs/>
                <w:color w:val="1a1a1a"/>
                <w:sz w:val="18"/>
                <w:szCs w:val="18"/>
                <w:rFonts w:ascii="Nunito Sans" w:cs="Nunito Sans" w:eastAsia="Nunito Sans" w:hAnsi="Nunito Sans"/>
              </w:rPr>
              <w:t xml:space="preserve">Business Expenses Insurance Advice</w:t>
            </w:r>
          </w:p>
        </w:tc>
        <w:tc>
          <w:tcPr>
            <w:tcW w:type="dxa" w:w="1500"/>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70–100% · s8-1</w:t>
            </w:r>
          </w:p>
        </w:tc>
        <w:tc>
          <w:tcPr>
            <w:tcW w:type="dxa" w:w="4426"/>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No exemplar. 70–100% rests on the standard s8-1 premium-deductibility position.</w:t>
            </w:r>
          </w:p>
        </w:tc>
      </w:tr>
      <w:tr>
        <w:tc>
          <w:tcPr>
            <w:tcW w:type="dxa" w:w="3100"/>
            <w:shd w:fill="FFF3B8" w:val="clear"/>
            <w:tcMar>
              <w:top w:type="dxa" w:w="60"/>
              <w:left w:type="dxa" w:w="110"/>
              <w:bottom w:type="dxa" w:w="60"/>
              <w:right w:type="dxa" w:w="110"/>
            </w:tcMar>
          </w:tcPr>
          <w:p>
            <w:pPr>
              <w:spacing w:before="0" w:after="0" w:line="250"/>
            </w:pPr>
            <w:r>
              <w:rPr>
                <w:b/>
                <w:bCs/>
                <w:color w:val="1a1a1a"/>
                <w:sz w:val="18"/>
                <w:szCs w:val="18"/>
                <w:rFonts w:ascii="Nunito Sans" w:cs="Nunito Sans" w:eastAsia="Nunito Sans" w:hAnsi="Nunito Sans"/>
              </w:rPr>
              <w:t xml:space="preserve">Key Person Insurance (Deductibility Analysis)</w:t>
            </w:r>
          </w:p>
        </w:tc>
        <w:tc>
          <w:tcPr>
            <w:tcW w:type="dxa" w:w="1500"/>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20–60% · s25-5</w:t>
            </w:r>
          </w:p>
        </w:tc>
        <w:tc>
          <w:tcPr>
            <w:tcW w:type="dxa" w:w="4426"/>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No exemplar. 20–60% house range.</w:t>
            </w:r>
          </w:p>
        </w:tc>
      </w:tr>
      <w:tr>
        <w:tc>
          <w:tcPr>
            <w:tcW w:type="dxa" w:w="3100"/>
            <w:shd w:fill="FFF3B8" w:val="clear"/>
            <w:tcMar>
              <w:top w:type="dxa" w:w="60"/>
              <w:left w:type="dxa" w:w="110"/>
              <w:bottom w:type="dxa" w:w="60"/>
              <w:right w:type="dxa" w:w="110"/>
            </w:tcMar>
          </w:tcPr>
          <w:p>
            <w:pPr>
              <w:spacing w:before="0" w:after="0" w:line="250"/>
            </w:pPr>
            <w:r>
              <w:rPr>
                <w:b/>
                <w:bCs/>
                <w:color w:val="1a1a1a"/>
                <w:sz w:val="18"/>
                <w:szCs w:val="18"/>
                <w:rFonts w:ascii="Nunito Sans" w:cs="Nunito Sans" w:eastAsia="Nunito Sans" w:hAnsi="Nunito Sans"/>
              </w:rPr>
              <w:t xml:space="preserve">Debt Recycling Strategy</w:t>
            </w:r>
          </w:p>
        </w:tc>
        <w:tc>
          <w:tcPr>
            <w:tcW w:type="dxa" w:w="1500"/>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70–100% · s8-1</w:t>
            </w:r>
          </w:p>
        </w:tc>
        <w:tc>
          <w:tcPr>
            <w:tcW w:type="dxa" w:w="4426"/>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No exemplar — 70–100% is a HOUSE DECISION (debt structuring / converting private debt to deductible investment debt).</w:t>
            </w:r>
          </w:p>
        </w:tc>
      </w:tr>
      <w:tr>
        <w:tc>
          <w:tcPr>
            <w:tcW w:type="dxa" w:w="3100"/>
            <w:shd w:fill="FFF3B8" w:val="clear"/>
            <w:tcMar>
              <w:top w:type="dxa" w:w="60"/>
              <w:left w:type="dxa" w:w="110"/>
              <w:bottom w:type="dxa" w:w="60"/>
              <w:right w:type="dxa" w:w="110"/>
            </w:tcMar>
          </w:tcPr>
          <w:p>
            <w:pPr>
              <w:spacing w:before="0" w:after="0" w:line="250"/>
            </w:pPr>
            <w:r>
              <w:rPr>
                <w:b/>
                <w:bCs/>
                <w:color w:val="1a1a1a"/>
                <w:sz w:val="18"/>
                <w:szCs w:val="18"/>
                <w:rFonts w:ascii="Nunito Sans" w:cs="Nunito Sans" w:eastAsia="Nunito Sans" w:hAnsi="Nunito Sans"/>
              </w:rPr>
              <w:t xml:space="preserve">SMSF Contribution Strategy Advice</w:t>
            </w:r>
          </w:p>
        </w:tc>
        <w:tc>
          <w:tcPr>
            <w:tcW w:type="dxa" w:w="1500"/>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100–100% · s25-5</w:t>
            </w:r>
          </w:p>
        </w:tc>
        <w:tc>
          <w:tcPr>
            <w:tcW w:type="dxa" w:w="4426"/>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No SMSF exemplar — 100% set by ANALOGY to the exemplified CC/NCC contribution treatment.</w:t>
            </w:r>
          </w:p>
        </w:tc>
      </w:tr>
      <w:tr>
        <w:tc>
          <w:tcPr>
            <w:tcW w:type="dxa" w:w="3100"/>
            <w:shd w:fill="FFF3B8" w:val="clear"/>
            <w:tcMar>
              <w:top w:type="dxa" w:w="60"/>
              <w:left w:type="dxa" w:w="110"/>
              <w:bottom w:type="dxa" w:w="60"/>
              <w:right w:type="dxa" w:w="110"/>
            </w:tcMar>
          </w:tcPr>
          <w:p>
            <w:pPr>
              <w:spacing w:before="0" w:after="0" w:line="250"/>
            </w:pPr>
            <w:r>
              <w:rPr>
                <w:b/>
                <w:bCs/>
                <w:color w:val="1a1a1a"/>
                <w:sz w:val="18"/>
                <w:szCs w:val="18"/>
                <w:rFonts w:ascii="Nunito Sans" w:cs="Nunito Sans" w:eastAsia="Nunito Sans" w:hAnsi="Nunito Sans"/>
              </w:rPr>
              <w:t xml:space="preserve">SMSF Investment Strategy (Compliance &amp; Review)</w:t>
            </w:r>
          </w:p>
        </w:tc>
        <w:tc>
          <w:tcPr>
            <w:tcW w:type="dxa" w:w="1500"/>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0–70% · s25-5</w:t>
            </w:r>
          </w:p>
        </w:tc>
        <w:tc>
          <w:tcPr>
            <w:tcW w:type="dxa" w:w="4426"/>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No exemplar. 0–70% (floor aligned to example 5.3.4’s 0% pole; the 70% top is unexemplified).</w:t>
            </w:r>
          </w:p>
        </w:tc>
      </w:tr>
      <w:tr>
        <w:tc>
          <w:tcPr>
            <w:tcW w:type="dxa" w:w="3100"/>
            <w:shd w:fill="FFF3B8" w:val="clear"/>
            <w:tcMar>
              <w:top w:type="dxa" w:w="60"/>
              <w:left w:type="dxa" w:w="110"/>
              <w:bottom w:type="dxa" w:w="60"/>
              <w:right w:type="dxa" w:w="110"/>
            </w:tcMar>
          </w:tcPr>
          <w:p>
            <w:pPr>
              <w:spacing w:before="0" w:after="0" w:line="250"/>
            </w:pPr>
            <w:r>
              <w:rPr>
                <w:b/>
                <w:bCs/>
                <w:color w:val="1a1a1a"/>
                <w:sz w:val="18"/>
                <w:szCs w:val="18"/>
                <w:rFonts w:ascii="Nunito Sans" w:cs="Nunito Sans" w:eastAsia="Nunito Sans" w:hAnsi="Nunito Sans"/>
              </w:rPr>
              <w:t xml:space="preserve">SMSF Borrowing / Limited Recourse Borrowing Arrangement (LRBA)</w:t>
            </w:r>
          </w:p>
        </w:tc>
        <w:tc>
          <w:tcPr>
            <w:tcW w:type="dxa" w:w="1500"/>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0% · Non-Deductible</w:t>
            </w:r>
          </w:p>
        </w:tc>
        <w:tc>
          <w:tcPr>
            <w:tcW w:type="dxa" w:w="4426"/>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No exemplar. 0–20% house range.</w:t>
            </w:r>
          </w:p>
        </w:tc>
      </w:tr>
      <w:tr>
        <w:tc>
          <w:tcPr>
            <w:tcW w:type="dxa" w:w="3100"/>
            <w:shd w:fill="FFF3B8" w:val="clear"/>
            <w:tcMar>
              <w:top w:type="dxa" w:w="60"/>
              <w:left w:type="dxa" w:w="110"/>
              <w:bottom w:type="dxa" w:w="60"/>
              <w:right w:type="dxa" w:w="110"/>
            </w:tcMar>
          </w:tcPr>
          <w:p>
            <w:pPr>
              <w:spacing w:before="0" w:after="0" w:line="250"/>
            </w:pPr>
            <w:r>
              <w:rPr>
                <w:b/>
                <w:bCs/>
                <w:color w:val="1a1a1a"/>
                <w:sz w:val="18"/>
                <w:szCs w:val="18"/>
                <w:rFonts w:ascii="Nunito Sans" w:cs="Nunito Sans" w:eastAsia="Nunito Sans" w:hAnsi="Nunito Sans"/>
              </w:rPr>
              <w:t xml:space="preserve">Advice on Winding Up an SMSF</w:t>
            </w:r>
          </w:p>
        </w:tc>
        <w:tc>
          <w:tcPr>
            <w:tcW w:type="dxa" w:w="1500"/>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0–20% · s25-5</w:t>
            </w:r>
          </w:p>
        </w:tc>
        <w:tc>
          <w:tcPr>
            <w:tcW w:type="dxa" w:w="4426"/>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No exemplar. 0–20% house range.</w:t>
            </w:r>
          </w:p>
        </w:tc>
      </w:tr>
      <w:tr>
        <w:tc>
          <w:tcPr>
            <w:tcW w:type="dxa" w:w="3100"/>
            <w:shd w:fill="FFF3B8" w:val="clear"/>
            <w:tcMar>
              <w:top w:type="dxa" w:w="60"/>
              <w:left w:type="dxa" w:w="110"/>
              <w:bottom w:type="dxa" w:w="60"/>
              <w:right w:type="dxa" w:w="110"/>
            </w:tcMar>
          </w:tcPr>
          <w:p>
            <w:pPr>
              <w:spacing w:before="0" w:after="0" w:line="250"/>
            </w:pPr>
            <w:r>
              <w:rPr>
                <w:b/>
                <w:bCs/>
                <w:color w:val="1a1a1a"/>
                <w:sz w:val="18"/>
                <w:szCs w:val="18"/>
                <w:rFonts w:ascii="Nunito Sans" w:cs="Nunito Sans" w:eastAsia="Nunito Sans" w:hAnsi="Nunito Sans"/>
              </w:rPr>
              <w:t xml:space="preserve">Business Succession Planning (Tax Implications)</w:t>
            </w:r>
          </w:p>
        </w:tc>
        <w:tc>
          <w:tcPr>
            <w:tcW w:type="dxa" w:w="1500"/>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0–40% · s25-5</w:t>
            </w:r>
          </w:p>
        </w:tc>
        <w:tc>
          <w:tcPr>
            <w:tcW w:type="dxa" w:w="4426"/>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No exemplar. 0–40% house range.</w:t>
            </w:r>
          </w:p>
        </w:tc>
      </w:tr>
      <w:tr>
        <w:tc>
          <w:tcPr>
            <w:tcW w:type="dxa" w:w="3100"/>
            <w:shd w:fill="FFF3B8" w:val="clear"/>
            <w:tcMar>
              <w:top w:type="dxa" w:w="60"/>
              <w:left w:type="dxa" w:w="110"/>
              <w:bottom w:type="dxa" w:w="60"/>
              <w:right w:type="dxa" w:w="110"/>
            </w:tcMar>
          </w:tcPr>
          <w:p>
            <w:pPr>
              <w:spacing w:before="0" w:after="0" w:line="250"/>
            </w:pPr>
            <w:r>
              <w:rPr>
                <w:b/>
                <w:bCs/>
                <w:color w:val="1a1a1a"/>
                <w:sz w:val="18"/>
                <w:szCs w:val="18"/>
                <w:rFonts w:ascii="Nunito Sans" w:cs="Nunito Sans" w:eastAsia="Nunito Sans" w:hAnsi="Nunito Sans"/>
              </w:rPr>
              <w:t xml:space="preserve">Small Business CGT Concessions Advice</w:t>
            </w:r>
          </w:p>
        </w:tc>
        <w:tc>
          <w:tcPr>
            <w:tcW w:type="dxa" w:w="1500"/>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70–100% · s25-5</w:t>
            </w:r>
          </w:p>
        </w:tc>
        <w:tc>
          <w:tcPr>
            <w:tcW w:type="dxa" w:w="4426"/>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No exemplar. 70–100% rests on Division 152 being pure tax-affairs work.</w:t>
            </w:r>
          </w:p>
        </w:tc>
      </w:tr>
      <w:tr>
        <w:tc>
          <w:tcPr>
            <w:tcW w:type="dxa" w:w="3100"/>
            <w:shd w:fill="FFF3B8" w:val="clear"/>
            <w:tcMar>
              <w:top w:type="dxa" w:w="60"/>
              <w:left w:type="dxa" w:w="110"/>
              <w:bottom w:type="dxa" w:w="60"/>
              <w:right w:type="dxa" w:w="110"/>
            </w:tcMar>
          </w:tcPr>
          <w:p>
            <w:pPr>
              <w:spacing w:before="0" w:after="0" w:line="250"/>
            </w:pPr>
            <w:r>
              <w:rPr>
                <w:b/>
                <w:bCs/>
                <w:color w:val="1a1a1a"/>
                <w:sz w:val="18"/>
                <w:szCs w:val="18"/>
                <w:rFonts w:ascii="Nunito Sans" w:cs="Nunito Sans" w:eastAsia="Nunito Sans" w:hAnsi="Nunito Sans"/>
              </w:rPr>
              <w:t xml:space="preserve">Bank Account &amp; Offset Structuring — wording only</w:t>
            </w:r>
          </w:p>
        </w:tc>
        <w:tc>
          <w:tcPr>
            <w:tcW w:type="dxa" w:w="1500"/>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20% · s25-5</w:t>
            </w:r>
          </w:p>
        </w:tc>
        <w:tc>
          <w:tcPr>
            <w:tcW w:type="dxa" w:w="4426"/>
            <w:shd w:fill="FFF3B8" w:val="clear"/>
            <w:tcMar>
              <w:top w:type="dxa" w:w="60"/>
              <w:left w:type="dxa" w:w="110"/>
              <w:bottom w:type="dxa" w:w="60"/>
              <w:right w:type="dxa" w:w="110"/>
            </w:tcMar>
          </w:tcPr>
          <w:p>
            <w:pPr>
              <w:spacing w:before="0" w:after="0" w:line="250"/>
            </w:pPr>
            <w:r>
              <w:rPr>
                <w:b w:val="false"/>
                <w:bCs w:val="false"/>
                <w:color w:val="1a1a1a"/>
                <w:sz w:val="18"/>
                <w:szCs w:val="18"/>
                <w:rFonts w:ascii="Nunito Sans" w:cs="Nunito Sans" w:eastAsia="Nunito Sans" w:hAnsi="Nunito Sans"/>
              </w:rPr>
              <w:t xml:space="preserve">Rate IS exemplified (invoice #1). The invoice wording deliberately deviates from the exemplar’s “reduces assessable income” to “tax implications of the structuring”, because a home-loan offset reduces non-deductible interest, not assessable income. Approve the wording change.</w:t>
            </w:r>
          </w:p>
        </w:tc>
      </w:tr>
    </w:tbl>
    <w:p>
      <w:pPr>
        <w:pStyle w:val="Heading1"/>
        <w:spacing w:before="240" w:after="90"/>
      </w:pPr>
      <w:r>
        <w:rPr>
          <w:b/>
          <w:bCs/>
          <w:color w:val="0C2E3F"/>
          <w:sz w:val="28"/>
          <w:szCs w:val="28"/>
          <w:rFonts w:ascii="ABC Arizona Flare" w:cs="ABC Arizona Flare" w:eastAsia="ABC Arizona Flare" w:hAnsi="ABC Arizona Flare"/>
        </w:rPr>
        <w:t xml:space="preserve">Full Strategy Detail</w:t>
      </w:r>
    </w:p>
    <w:p>
      <w:pPr>
        <w:pStyle w:val="Heading2"/>
        <w:spacing w:before="180" w:after="70"/>
      </w:pPr>
      <w:r>
        <w:rPr>
          <w:b/>
          <w:bCs/>
          <w:color w:val="2B6FD6"/>
          <w:sz w:val="23"/>
          <w:szCs w:val="23"/>
          <w:rFonts w:ascii="ABC Arizona Flare" w:cs="ABC Arizona Flare" w:eastAsia="ABC Arizona Flare" w:hAnsi="ABC Arizona Flare"/>
        </w:rPr>
        <w:t xml:space="preserve">Super &amp; Retirement</w:t>
      </w:r>
    </w:p>
    <w:p>
      <w:pPr>
        <w:keepNext/>
        <w:spacing w:before="140" w:after="40"/>
      </w:pPr>
      <w:r>
        <w:rPr>
          <w:b/>
          <w:bCs/>
          <w:color w:val="0C2E3F"/>
          <w:sz w:val="21"/>
          <w:szCs w:val="21"/>
          <w:rFonts w:ascii="Nunito Sans" w:cs="Nunito Sans" w:eastAsia="Nunito Sans" w:hAnsi="Nunito Sans"/>
        </w:rPr>
        <w:t xml:space="preserve">Salary Sacrifice to Superannuation</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10–30% (default 20%)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100% (default 100%)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s25-5</w:t>
      </w:r>
    </w:p>
    <w:p>
      <w:pPr>
        <w:spacing w:before="30" w:after="70" w:line="266"/>
      </w:pPr>
      <w:r>
        <w:rPr>
          <w:b/>
          <w:bCs/>
          <w:i w:val="false"/>
          <w:iCs w:val="false"/>
          <w:color w:val="1E7B4D"/>
          <w:sz w:val="19"/>
          <w:szCs w:val="19"/>
          <w:rFonts w:ascii="Nunito Sans" w:cs="Nunito Sans" w:eastAsia="Nunito Sans" w:hAnsi="Nunito Sans"/>
        </w:rPr>
        <w:t xml:space="preserve">Exemplar support: </w:t>
      </w:r>
      <w:r>
        <w:rPr>
          <w:b w:val="false"/>
          <w:bCs w:val="false"/>
          <w:i w:val="false"/>
          <w:iCs w:val="false"/>
          <w:color w:val="1E7B4D"/>
          <w:sz w:val="19"/>
          <w:szCs w:val="19"/>
          <w:rFonts w:ascii="Nunito Sans" w:cs="Nunito Sans" w:eastAsia="Nunito Sans" w:hAnsi="Nunito Sans"/>
        </w:rPr>
        <w:t xml:space="preserve">Example 5.3.4 (100%); strategy-basis exemplar (100%); Dave &amp; Sally</w:t>
      </w:r>
    </w:p>
    <w:p>
      <w:pPr>
        <w:spacing w:before="30" w:after="70" w:line="266"/>
      </w:pPr>
      <w:r>
        <w:rPr>
          <w:b/>
          <w:bCs/>
          <w:i w:val="false"/>
          <w:iCs w:val="false"/>
          <w:color w:val="1a1a1a"/>
          <w:sz w:val="19"/>
          <w:szCs w:val="19"/>
          <w:rFonts w:ascii="Nunito Sans" w:cs="Nunito Sans" w:eastAsia="Nunito Sans" w:hAnsi="Nunito Sans"/>
        </w:rPr>
        <w:t xml:space="preserve">Default invoice wording: </w:t>
      </w:r>
      <w:r>
        <w:rPr>
          <w:b w:val="false"/>
          <w:bCs w:val="false"/>
          <w:i/>
          <w:iCs/>
          <w:color w:val="1a1a1a"/>
          <w:sz w:val="19"/>
          <w:szCs w:val="19"/>
          <w:rFonts w:ascii="Nunito Sans" w:cs="Nunito Sans" w:eastAsia="Nunito Sans" w:hAnsi="Nunito Sans"/>
        </w:rPr>
        <w:t xml:space="preserve">“Advice on salary sacrifice strategies to reduce taxable income (s25-5)”</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salary sacrifice as an employment remuneration arrangement, PAYG/taxable income reduction, concessional cap utilisation, employer payroll treatment, SG interaction and tax-effective contribution levels.</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Exemplar treatment is 100% — salary sacrifice advice inherently involves advising on the tax treatment of sacrificing salary to super and reducing assessable income (licensee example 5.3.4 and the strategy-basis exemplar both apply 100%). Reduce only where the file shows the advice was mainly remuneration packaging or retirement accumulation with no tax analysis.</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Salary sacrifice reduces assessable income (deducting super prior to PAYG) and involves advising on the tax implications of sacrificing into superannuation — treated as fully deductible tax (financial) advice under s25-5 in the exemplars.</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salary sacrifice calculations, PAYG/taxable income comparison, concessional cap worksheet, employer payroll notes, contribution schedule and file note identifying tax-driven component versus retirement accumulation component.</w:t>
      </w:r>
    </w:p>
    <w:p>
      <w:pPr>
        <w:keepNext/>
        <w:spacing w:before="140" w:after="40"/>
      </w:pPr>
      <w:r>
        <w:rPr>
          <w:b/>
          <w:bCs/>
          <w:color w:val="0C2E3F"/>
          <w:sz w:val="21"/>
          <w:szCs w:val="21"/>
          <w:rFonts w:ascii="Nunito Sans" w:cs="Nunito Sans" w:eastAsia="Nunito Sans" w:hAnsi="Nunito Sans"/>
        </w:rPr>
        <w:t xml:space="preserve">Personal Deductible Concessional Contributions</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10–30% (default 20%)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100% (default 100%)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s25-5</w:t>
      </w:r>
    </w:p>
    <w:p>
      <w:pPr>
        <w:spacing w:before="30" w:after="70" w:line="266"/>
      </w:pPr>
      <w:r>
        <w:rPr>
          <w:b/>
          <w:bCs/>
          <w:i w:val="false"/>
          <w:iCs w:val="false"/>
          <w:color w:val="1E7B4D"/>
          <w:sz w:val="19"/>
          <w:szCs w:val="19"/>
          <w:rFonts w:ascii="Nunito Sans" w:cs="Nunito Sans" w:eastAsia="Nunito Sans" w:hAnsi="Nunito Sans"/>
        </w:rPr>
        <w:t xml:space="preserve">Exemplar support: </w:t>
      </w:r>
      <w:r>
        <w:rPr>
          <w:b w:val="false"/>
          <w:bCs w:val="false"/>
          <w:i w:val="false"/>
          <w:iCs w:val="false"/>
          <w:color w:val="1E7B4D"/>
          <w:sz w:val="19"/>
          <w:szCs w:val="19"/>
          <w:rFonts w:ascii="Nunito Sans" w:cs="Nunito Sans" w:eastAsia="Nunito Sans" w:hAnsi="Nunito Sans"/>
        </w:rPr>
        <w:t xml:space="preserve">Example 5.3.4 (100%)</w:t>
      </w:r>
    </w:p>
    <w:p>
      <w:pPr>
        <w:spacing w:before="30" w:after="70" w:line="266"/>
      </w:pPr>
      <w:r>
        <w:rPr>
          <w:b/>
          <w:bCs/>
          <w:i w:val="false"/>
          <w:iCs w:val="false"/>
          <w:color w:val="1a1a1a"/>
          <w:sz w:val="19"/>
          <w:szCs w:val="19"/>
          <w:rFonts w:ascii="Nunito Sans" w:cs="Nunito Sans" w:eastAsia="Nunito Sans" w:hAnsi="Nunito Sans"/>
        </w:rPr>
        <w:t xml:space="preserve">Default invoice wording: </w:t>
      </w:r>
      <w:r>
        <w:rPr>
          <w:b w:val="false"/>
          <w:bCs w:val="false"/>
          <w:i/>
          <w:iCs/>
          <w:color w:val="1a1a1a"/>
          <w:sz w:val="19"/>
          <w:szCs w:val="19"/>
          <w:rFonts w:ascii="Nunito Sans" w:cs="Nunito Sans" w:eastAsia="Nunito Sans" w:hAnsi="Nunito Sans"/>
        </w:rPr>
        <w:t xml:space="preserve">“Advice on making tax-deductible personal superannuation contributions (s25-5)”</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when there is a clear tax deduction nexus, including NOI requirements, Div293 analysis, carry-forward concessional cap analysis, explicit deduction optimisation, taxable income reduction modelling or contribution deductibility advice.</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Exemplar treatment is 100% — a tax-deductible contribution as well as increasing super benefits (licensee example 5.3.4 applies 100% to concessional contributions up to the cap). Reduce only where the contribution advice was incidental to broader accumulation planning with no deduction/cap analysis.</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Advice on making tax-deductible personal contributions (NOI, caps, Division 293) is advice on applying taxation laws — fully deductible under s25-5 per the exemplars.</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NOI checklist, concessional cap and carry-forward cap calculations, Division 293 assessment, taxable income projections, deduction optimisation notes, accountant correspondence and signed advice file note.</w:t>
      </w:r>
    </w:p>
    <w:p>
      <w:pPr>
        <w:keepNext/>
        <w:spacing w:before="140" w:after="40"/>
      </w:pPr>
      <w:r>
        <w:rPr>
          <w:b/>
          <w:bCs/>
          <w:color w:val="0C2E3F"/>
          <w:sz w:val="21"/>
          <w:szCs w:val="21"/>
          <w:rFonts w:ascii="Nunito Sans" w:cs="Nunito Sans" w:eastAsia="Nunito Sans" w:hAnsi="Nunito Sans"/>
        </w:rPr>
        <w:t xml:space="preserve">Non-Concessional (After-Tax) Contributions</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5–20% (default 13%)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100% (default 100%)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s25-5</w:t>
      </w:r>
    </w:p>
    <w:p>
      <w:pPr>
        <w:spacing w:before="30" w:after="70" w:line="266"/>
      </w:pPr>
      <w:r>
        <w:rPr>
          <w:b/>
          <w:bCs/>
          <w:i w:val="false"/>
          <w:iCs w:val="false"/>
          <w:color w:val="1E7B4D"/>
          <w:sz w:val="19"/>
          <w:szCs w:val="19"/>
          <w:rFonts w:ascii="Nunito Sans" w:cs="Nunito Sans" w:eastAsia="Nunito Sans" w:hAnsi="Nunito Sans"/>
        </w:rPr>
        <w:t xml:space="preserve">Exemplar support: </w:t>
      </w:r>
      <w:r>
        <w:rPr>
          <w:b w:val="false"/>
          <w:bCs w:val="false"/>
          <w:i w:val="false"/>
          <w:iCs w:val="false"/>
          <w:color w:val="1E7B4D"/>
          <w:sz w:val="19"/>
          <w:szCs w:val="19"/>
          <w:rFonts w:ascii="Nunito Sans" w:cs="Nunito Sans" w:eastAsia="Nunito Sans" w:hAnsi="Nunito Sans"/>
        </w:rPr>
        <w:t xml:space="preserve">Strategy-basis exemplar (100%); Dave &amp; Sally (s25-5)</w:t>
      </w:r>
    </w:p>
    <w:p>
      <w:pPr>
        <w:spacing w:before="30" w:after="70" w:line="266"/>
      </w:pPr>
      <w:r>
        <w:rPr>
          <w:b/>
          <w:bCs/>
          <w:i w:val="false"/>
          <w:iCs w:val="false"/>
          <w:color w:val="1a1a1a"/>
          <w:sz w:val="19"/>
          <w:szCs w:val="19"/>
          <w:rFonts w:ascii="Nunito Sans" w:cs="Nunito Sans" w:eastAsia="Nunito Sans" w:hAnsi="Nunito Sans"/>
        </w:rPr>
        <w:t xml:space="preserve">Default invoice wording: </w:t>
      </w:r>
      <w:r>
        <w:rPr>
          <w:b w:val="false"/>
          <w:bCs w:val="false"/>
          <w:i/>
          <w:iCs/>
          <w:color w:val="1a1a1a"/>
          <w:sz w:val="19"/>
          <w:szCs w:val="19"/>
          <w:rFonts w:ascii="Nunito Sans" w:cs="Nunito Sans" w:eastAsia="Nunito Sans" w:hAnsi="Nunito Sans"/>
        </w:rPr>
        <w:t xml:space="preserve">“Advice on the tax implications of superannuation contribution caps (Concessional/Non-concessional) (s25-5)”</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when advice relates to after-tax (non-concessional) contributions — cap analysis, bring-forward rules, contribution timing and the tax implications of contributing up to the NCC cap.</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Exemplar treatment is 100% — non-concessional contribution advice involves applying taxation laws (contribution caps, excess contribution tax, bring-forward mechanics); the licensee strategy-basis exemplar applies 100% and the Dave &amp; Sally exemplar claims it under s25-5. Reduce where the advice is documented as mainly long-term wealth accumulation with no cap/tax analysis.</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Advice on the tax implications of contributions to the non-concessional cap is managing tax affairs — s25-5 per the licensee exemplars.</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the contribution cap worksheet, bring-forward eligibility analysis, excess-contribution tax notes and the advice document showing the cap/tax analysis.</w:t>
      </w:r>
    </w:p>
    <w:p>
      <w:pPr>
        <w:keepNext/>
        <w:spacing w:before="140" w:after="40"/>
      </w:pPr>
      <w:r>
        <w:rPr>
          <w:b/>
          <w:bCs/>
          <w:color w:val="0C2E3F"/>
          <w:sz w:val="21"/>
          <w:szCs w:val="21"/>
          <w:rFonts w:ascii="Nunito Sans" w:cs="Nunito Sans" w:eastAsia="Nunito Sans" w:hAnsi="Nunito Sans"/>
        </w:rPr>
        <w:t xml:space="preserve">Spouse Contributions / Contribution Splitting</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5–15% (default 10%)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0-30% (default 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s25-5</w:t>
      </w:r>
    </w:p>
    <w:p>
      <w:pPr>
        <w:spacing w:before="30" w:after="70" w:line="266"/>
      </w:pPr>
      <w:r>
        <w:rPr>
          <w:b/>
          <w:bCs/>
          <w:i w:val="false"/>
          <w:iCs w:val="false"/>
          <w:color w:val="B45309"/>
          <w:sz w:val="19"/>
          <w:szCs w:val="19"/>
          <w:rFonts w:ascii="Nunito Sans" w:cs="Nunito Sans" w:eastAsia="Nunito Sans" w:hAnsi="Nunito Sans"/>
        </w:rPr>
        <w:t xml:space="preserve">⚠ REQUIRES MANUAL REVIEW — not exemplar-backed: </w:t>
      </w:r>
      <w:r>
        <w:rPr>
          <w:b w:val="false"/>
          <w:bCs w:val="false"/>
          <w:i w:val="false"/>
          <w:iCs w:val="false"/>
          <w:color w:val="B45309"/>
          <w:sz w:val="19"/>
          <w:szCs w:val="19"/>
          <w:rFonts w:ascii="Nunito Sans" w:cs="Nunito Sans" w:eastAsia="Nunito Sans" w:hAnsi="Nunito Sans"/>
        </w:rPr>
        <w:t xml:space="preserve">No exemplar. Conservative 0–30% house range.</w:t>
      </w:r>
    </w:p>
    <w:p>
      <w:pPr>
        <w:spacing w:before="30" w:after="70" w:line="266"/>
      </w:pPr>
      <w:r>
        <w:rPr>
          <w:b/>
          <w:bCs/>
          <w:i w:val="false"/>
          <w:iCs w:val="false"/>
          <w:color w:val="1a1a1a"/>
          <w:sz w:val="19"/>
          <w:szCs w:val="19"/>
          <w:rFonts w:ascii="Nunito Sans" w:cs="Nunito Sans" w:eastAsia="Nunito Sans" w:hAnsi="Nunito Sans"/>
        </w:rPr>
        <w:t xml:space="preserve">Default invoice wording: </w:t>
      </w:r>
      <w:r>
        <w:rPr>
          <w:b w:val="false"/>
          <w:bCs w:val="false"/>
          <w:i/>
          <w:iCs/>
          <w:color w:val="1a1a1a"/>
          <w:sz w:val="19"/>
          <w:szCs w:val="19"/>
          <w:rFonts w:ascii="Nunito Sans" w:cs="Nunito Sans" w:eastAsia="Nunito Sans" w:hAnsi="Nunito Sans"/>
        </w:rPr>
        <w:t xml:space="preserve">“Advice on the tax implications of superannuation contribution caps (Concessional/Non-concessional) (s25-5)”</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analysing spouse contribution tax offset eligibility, contribution splitting mechanics, concessional cap balancing, spouse balance equalisation and related current-year tax implications.</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Lower end where advice is mainly family wealth equalisation, retirement planning or estate planning. Higher end where spouse offset calculations, cap optimisation, taxable income modelling and contribution splitting tax mechanics are documented. Reduce where wealth transfer or family planning is the dominant purpose.</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Mixed advice. Deductible component is limited to identifiable tax affairs work concerning spouse offset/cap treatment and contribution splitting tax implications; broader family retirement equalisation remains private.</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spouse income/offset calculation, contribution splitting eligibility notes, cap worksheets, tax outcome comparison and file note explaining the tax-affairs component.</w:t>
      </w:r>
    </w:p>
    <w:p>
      <w:pPr>
        <w:keepNext/>
        <w:spacing w:before="140" w:after="40"/>
      </w:pPr>
      <w:r>
        <w:rPr>
          <w:b/>
          <w:bCs/>
          <w:color w:val="0C2E3F"/>
          <w:sz w:val="21"/>
          <w:szCs w:val="21"/>
          <w:rFonts w:ascii="Nunito Sans" w:cs="Nunito Sans" w:eastAsia="Nunito Sans" w:hAnsi="Nunito Sans"/>
        </w:rPr>
        <w:t xml:space="preserve">Downsizer Contributions</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5–15% (default 10%)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0-20% (default 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s25-5</w:t>
      </w:r>
    </w:p>
    <w:p>
      <w:pPr>
        <w:spacing w:before="30" w:after="70" w:line="266"/>
      </w:pPr>
      <w:r>
        <w:rPr>
          <w:b/>
          <w:bCs/>
          <w:i w:val="false"/>
          <w:iCs w:val="false"/>
          <w:color w:val="B45309"/>
          <w:sz w:val="19"/>
          <w:szCs w:val="19"/>
          <w:rFonts w:ascii="Nunito Sans" w:cs="Nunito Sans" w:eastAsia="Nunito Sans" w:hAnsi="Nunito Sans"/>
        </w:rPr>
        <w:t xml:space="preserve">⚠ REQUIRES MANUAL REVIEW — not exemplar-backed: </w:t>
      </w:r>
      <w:r>
        <w:rPr>
          <w:b w:val="false"/>
          <w:bCs w:val="false"/>
          <w:i w:val="false"/>
          <w:iCs w:val="false"/>
          <w:color w:val="B45309"/>
          <w:sz w:val="19"/>
          <w:szCs w:val="19"/>
          <w:rFonts w:ascii="Nunito Sans" w:cs="Nunito Sans" w:eastAsia="Nunito Sans" w:hAnsi="Nunito Sans"/>
        </w:rPr>
        <w:t xml:space="preserve">No exemplar. Conservative 0–20% house range (external review concurs).</w:t>
      </w:r>
    </w:p>
    <w:p>
      <w:pPr>
        <w:spacing w:before="30" w:after="70" w:line="266"/>
      </w:pPr>
      <w:r>
        <w:rPr>
          <w:b/>
          <w:bCs/>
          <w:i w:val="false"/>
          <w:iCs w:val="false"/>
          <w:color w:val="1a1a1a"/>
          <w:sz w:val="19"/>
          <w:szCs w:val="19"/>
          <w:rFonts w:ascii="Nunito Sans" w:cs="Nunito Sans" w:eastAsia="Nunito Sans" w:hAnsi="Nunito Sans"/>
        </w:rPr>
        <w:t xml:space="preserve">Default invoice wording: </w:t>
      </w:r>
      <w:r>
        <w:rPr>
          <w:b w:val="false"/>
          <w:bCs w:val="false"/>
          <w:i/>
          <w:iCs/>
          <w:color w:val="1a1a1a"/>
          <w:sz w:val="19"/>
          <w:szCs w:val="19"/>
          <w:rFonts w:ascii="Nunito Sans" w:cs="Nunito Sans" w:eastAsia="Nunito Sans" w:hAnsi="Nunito Sans"/>
        </w:rPr>
        <w:t xml:space="preserve">“Advice on the tax implications of superannuation contribution caps (Concessional/Non-concessional) (s25-5)”</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when advice considers downsizer contribution eligibility, contribution timing, age/ownership requirements, interaction with transfer balance cap, super contribution caps and retirement funding outcomes.</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Lower end where advice is mainly home sale, retirement lifestyle or asset repositioning. Higher end only where detailed eligibility, contribution cap interaction, transfer balance and tax outcome analysis is separately documented. Do not treat downsizer advice as deductible merely because super tax rules are discussed.</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Mostly private/retirement planning with limited potential tax-affairs component where eligibility and tax consequences are specifically analysed.</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downsizer eligibility checklist, sale/settlement timing notes, contribution cap analysis, transfer balance assessment and file note separating lifestyle/retirement advice from tax analysis.</w:t>
      </w:r>
    </w:p>
    <w:p>
      <w:pPr>
        <w:keepNext/>
        <w:spacing w:before="140" w:after="40"/>
      </w:pPr>
      <w:r>
        <w:rPr>
          <w:b/>
          <w:bCs/>
          <w:color w:val="0C2E3F"/>
          <w:sz w:val="21"/>
          <w:szCs w:val="21"/>
          <w:rFonts w:ascii="Nunito Sans" w:cs="Nunito Sans" w:eastAsia="Nunito Sans" w:hAnsi="Nunito Sans"/>
        </w:rPr>
        <w:t xml:space="preserve">Re-contribution Strategy</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5–20% (default 13%)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0-30% (default 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s25-5</w:t>
      </w:r>
    </w:p>
    <w:p>
      <w:pPr>
        <w:spacing w:before="30" w:after="70" w:line="266"/>
      </w:pPr>
      <w:r>
        <w:rPr>
          <w:b/>
          <w:bCs/>
          <w:i w:val="false"/>
          <w:iCs w:val="false"/>
          <w:color w:val="B45309"/>
          <w:sz w:val="19"/>
          <w:szCs w:val="19"/>
          <w:rFonts w:ascii="Nunito Sans" w:cs="Nunito Sans" w:eastAsia="Nunito Sans" w:hAnsi="Nunito Sans"/>
        </w:rPr>
        <w:t xml:space="preserve">⚠ REQUIRES MANUAL REVIEW — not exemplar-backed: </w:t>
      </w:r>
      <w:r>
        <w:rPr>
          <w:b w:val="false"/>
          <w:bCs w:val="false"/>
          <w:i w:val="false"/>
          <w:iCs w:val="false"/>
          <w:color w:val="B45309"/>
          <w:sz w:val="19"/>
          <w:szCs w:val="19"/>
          <w:rFonts w:ascii="Nunito Sans" w:cs="Nunito Sans" w:eastAsia="Nunito Sans" w:hAnsi="Nunito Sans"/>
        </w:rPr>
        <w:t xml:space="preserve">No exemplar. Conservative 0–30% house range (external review concurs).</w:t>
      </w:r>
    </w:p>
    <w:p>
      <w:pPr>
        <w:spacing w:before="30" w:after="70" w:line="266"/>
      </w:pPr>
      <w:r>
        <w:rPr>
          <w:b/>
          <w:bCs/>
          <w:i w:val="false"/>
          <w:iCs w:val="false"/>
          <w:color w:val="1a1a1a"/>
          <w:sz w:val="19"/>
          <w:szCs w:val="19"/>
          <w:rFonts w:ascii="Nunito Sans" w:cs="Nunito Sans" w:eastAsia="Nunito Sans" w:hAnsi="Nunito Sans"/>
        </w:rPr>
        <w:t xml:space="preserve">Default invoice wording: </w:t>
      </w:r>
      <w:r>
        <w:rPr>
          <w:b w:val="false"/>
          <w:bCs w:val="false"/>
          <w:i/>
          <w:iCs/>
          <w:color w:val="1a1a1a"/>
          <w:sz w:val="19"/>
          <w:szCs w:val="19"/>
          <w:rFonts w:ascii="Nunito Sans" w:cs="Nunito Sans" w:eastAsia="Nunito Sans" w:hAnsi="Nunito Sans"/>
        </w:rPr>
        <w:t xml:space="preserve">“Advice on the tax rules surrounding a re-contribution strategy (s25-5)”</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when advice analyses withdrawal and recontribution strategy, taxable/tax-free component optimisation, death benefit tax implications, contribution caps and recontribution timing.</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Lower end where advice is mainly estate planning, succession or wealth transfer. Higher end only where detailed tax component modelling, death benefit tax calculations and contribution cap analysis are documented. Do not use higher end if the dominant purpose is intergenerational wealth transfer.</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Mixed but generally private/estate influenced. Deductible component is limited to identifiable tax affairs analysis; estate/succession and capital restructuring components are not deductible.</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tax-free/taxable component modelling, death benefit tax comparison, contribution cap analysis, withdrawal/recontribution schedule and file note identifying estate versus tax-affairs elements.</w:t>
      </w:r>
    </w:p>
    <w:p>
      <w:pPr>
        <w:keepNext/>
        <w:spacing w:before="140" w:after="40"/>
      </w:pPr>
      <w:r>
        <w:rPr>
          <w:b/>
          <w:bCs/>
          <w:color w:val="0C2E3F"/>
          <w:sz w:val="21"/>
          <w:szCs w:val="21"/>
          <w:rFonts w:ascii="Nunito Sans" w:cs="Nunito Sans" w:eastAsia="Nunito Sans" w:hAnsi="Nunito Sans"/>
        </w:rPr>
        <w:t xml:space="preserve">Commencement of an Account Based Pension (ABP)</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10–25% (default 18%)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80% (default 80%)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s25-5</w:t>
      </w:r>
    </w:p>
    <w:p>
      <w:pPr>
        <w:spacing w:before="30" w:after="70" w:line="266"/>
      </w:pPr>
      <w:r>
        <w:rPr>
          <w:b/>
          <w:bCs/>
          <w:i w:val="false"/>
          <w:iCs w:val="false"/>
          <w:color w:val="1E7B4D"/>
          <w:sz w:val="19"/>
          <w:szCs w:val="19"/>
          <w:rFonts w:ascii="Nunito Sans" w:cs="Nunito Sans" w:eastAsia="Nunito Sans" w:hAnsi="Nunito Sans"/>
        </w:rPr>
        <w:t xml:space="preserve">Exemplar support: </w:t>
      </w:r>
      <w:r>
        <w:rPr>
          <w:b w:val="false"/>
          <w:bCs w:val="false"/>
          <w:i w:val="false"/>
          <w:iCs w:val="false"/>
          <w:color w:val="1E7B4D"/>
          <w:sz w:val="19"/>
          <w:szCs w:val="19"/>
          <w:rFonts w:ascii="Nunito Sans" w:cs="Nunito Sans" w:eastAsia="Nunito Sans" w:hAnsi="Nunito Sans"/>
        </w:rPr>
        <w:t xml:space="preserve">Dave &amp; Sally (s25-5); example 5.3.5 (80%)</w:t>
      </w:r>
    </w:p>
    <w:p>
      <w:pPr>
        <w:spacing w:before="30" w:after="70" w:line="266"/>
      </w:pPr>
      <w:r>
        <w:rPr>
          <w:b/>
          <w:bCs/>
          <w:i w:val="false"/>
          <w:iCs w:val="false"/>
          <w:color w:val="1a1a1a"/>
          <w:sz w:val="19"/>
          <w:szCs w:val="19"/>
          <w:rFonts w:ascii="Nunito Sans" w:cs="Nunito Sans" w:eastAsia="Nunito Sans" w:hAnsi="Nunito Sans"/>
        </w:rPr>
        <w:t xml:space="preserve">Default invoice wording: </w:t>
      </w:r>
      <w:r>
        <w:rPr>
          <w:b w:val="false"/>
          <w:bCs w:val="false"/>
          <w:i/>
          <w:iCs/>
          <w:color w:val="1a1a1a"/>
          <w:sz w:val="19"/>
          <w:szCs w:val="19"/>
          <w:rFonts w:ascii="Nunito Sans" w:cs="Nunito Sans" w:eastAsia="Nunito Sans" w:hAnsi="Nunito Sans"/>
        </w:rPr>
        <w:t xml:space="preserve">“Advice on the tax treatment of superannuation pension income (s25-5)”</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when advice includes ABP commencement, transfer balance cap analysis, minimum pension requirements, pension drawdown strategy, tax-free/taxable component treatment and pension tax implications.</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Exemplar treatment is 80% under s25-5 — ABP advice creates tax-free earnings, reduces taxable income (tax free over 60, no tax on withdrawals) and advises on the tax implications of the commencement (Dave &amp; Sally exemplar; example 5.3.5 applies 80% to the ABP portfolio and drawdown review). Reduce where the commencement advice is mainly retirement lifestyle/adequacy planning.</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Commencing an ABP creates tax-free earnings and reduces taxable income; advising on the tax implications of the commencement is managing tax affairs under s25-5 per the exemplars.</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TBC calculation, pension commencement documents, minimum pension calculations, tax component breakdown, pension modelling and file note separating tax analysis from retirement lifestyle advice.</w:t>
      </w:r>
    </w:p>
    <w:p>
      <w:pPr>
        <w:keepNext/>
        <w:spacing w:before="140" w:after="40"/>
      </w:pPr>
      <w:r>
        <w:rPr>
          <w:b/>
          <w:bCs/>
          <w:color w:val="0C2E3F"/>
          <w:sz w:val="21"/>
          <w:szCs w:val="21"/>
          <w:rFonts w:ascii="Nunito Sans" w:cs="Nunito Sans" w:eastAsia="Nunito Sans" w:hAnsi="Nunito Sans"/>
        </w:rPr>
        <w:t xml:space="preserve">Commencement of a Transition to Retirement (TTR)</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10–25% (default 18%)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80% (default 80%)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s25-5</w:t>
      </w:r>
    </w:p>
    <w:p>
      <w:pPr>
        <w:spacing w:before="30" w:after="70" w:line="266"/>
      </w:pPr>
      <w:r>
        <w:rPr>
          <w:b/>
          <w:bCs/>
          <w:i w:val="false"/>
          <w:iCs w:val="false"/>
          <w:color w:val="B45309"/>
          <w:sz w:val="19"/>
          <w:szCs w:val="19"/>
          <w:rFonts w:ascii="Nunito Sans" w:cs="Nunito Sans" w:eastAsia="Nunito Sans" w:hAnsi="Nunito Sans"/>
        </w:rPr>
        <w:t xml:space="preserve">⚠ REQUIRES MANUAL REVIEW — not exemplar-backed: </w:t>
      </w:r>
      <w:r>
        <w:rPr>
          <w:b w:val="false"/>
          <w:bCs w:val="false"/>
          <w:i w:val="false"/>
          <w:iCs w:val="false"/>
          <w:color w:val="B45309"/>
          <w:sz w:val="19"/>
          <w:szCs w:val="19"/>
          <w:rFonts w:ascii="Nunito Sans" w:cs="Nunito Sans" w:eastAsia="Nunito Sans" w:hAnsi="Nunito Sans"/>
        </w:rPr>
        <w:t xml:space="preserve">No TTR exemplar — 80% set by ANALOGY to the exemplified ABP treatment.</w:t>
      </w:r>
    </w:p>
    <w:p>
      <w:pPr>
        <w:spacing w:before="30" w:after="70" w:line="266"/>
      </w:pPr>
      <w:r>
        <w:rPr>
          <w:b/>
          <w:bCs/>
          <w:i w:val="false"/>
          <w:iCs w:val="false"/>
          <w:color w:val="1a1a1a"/>
          <w:sz w:val="19"/>
          <w:szCs w:val="19"/>
          <w:rFonts w:ascii="Nunito Sans" w:cs="Nunito Sans" w:eastAsia="Nunito Sans" w:hAnsi="Nunito Sans"/>
        </w:rPr>
        <w:t xml:space="preserve">Default invoice wording: </w:t>
      </w:r>
      <w:r>
        <w:rPr>
          <w:b w:val="false"/>
          <w:bCs w:val="false"/>
          <w:i/>
          <w:iCs/>
          <w:color w:val="1a1a1a"/>
          <w:sz w:val="19"/>
          <w:szCs w:val="19"/>
          <w:rFonts w:ascii="Nunito Sans" w:cs="Nunito Sans" w:eastAsia="Nunito Sans" w:hAnsi="Nunito Sans"/>
        </w:rPr>
        <w:t xml:space="preserve">“Advice on the tax treatment of superannuation pension income (s25-5)”</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when advice includes TTR pension commencement, concessional contribution recycling, PAYG reduction analysis, preservation age rules, pension tax treatment and tax optimisation modelling.</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Aligned with the ABP exemplar treatment (80%) — a TTR involves the same pension tax mechanics (pension tax treatment, PAYG reduction, contribution recycling). Reduce where the advice is mainly a work-transition/lifestyle recommendation.</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Mixed retirement transition and tax-affairs advice. Deductible element is limited to specific tax optimisation and pension tax treatment analysis.</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TTR modelling, contribution recycling calculations, PAYG/taxable income comparison, pension payment calculations, preservation age eligibility and file note describing the tax-driven component.</w:t>
      </w:r>
    </w:p>
    <w:p>
      <w:pPr>
        <w:keepNext/>
        <w:spacing w:before="140" w:after="40"/>
      </w:pPr>
      <w:r>
        <w:rPr>
          <w:b/>
          <w:bCs/>
          <w:color w:val="0C2E3F"/>
          <w:sz w:val="21"/>
          <w:szCs w:val="21"/>
          <w:rFonts w:ascii="Nunito Sans" w:cs="Nunito Sans" w:eastAsia="Nunito Sans" w:hAnsi="Nunito Sans"/>
        </w:rPr>
        <w:t xml:space="preserve">Ongoing Superannuation &amp; Pension Management</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20–60% (default 40%)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0-80% (0 accumulation-only; up to 80 pension drawdown) (default 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s25-5</w:t>
      </w:r>
    </w:p>
    <w:p>
      <w:pPr>
        <w:spacing w:before="30" w:after="70" w:line="266"/>
      </w:pPr>
      <w:r>
        <w:rPr>
          <w:b/>
          <w:bCs/>
          <w:i w:val="false"/>
          <w:iCs w:val="false"/>
          <w:color w:val="1E7B4D"/>
          <w:sz w:val="19"/>
          <w:szCs w:val="19"/>
          <w:rFonts w:ascii="Nunito Sans" w:cs="Nunito Sans" w:eastAsia="Nunito Sans" w:hAnsi="Nunito Sans"/>
        </w:rPr>
        <w:t xml:space="preserve">Exemplar support: </w:t>
      </w:r>
      <w:r>
        <w:rPr>
          <w:b w:val="false"/>
          <w:bCs w:val="false"/>
          <w:i w:val="false"/>
          <w:iCs w:val="false"/>
          <w:color w:val="1E7B4D"/>
          <w:sz w:val="19"/>
          <w:szCs w:val="19"/>
          <w:rFonts w:ascii="Nunito Sans" w:cs="Nunito Sans" w:eastAsia="Nunito Sans" w:hAnsi="Nunito Sans"/>
        </w:rPr>
        <w:t xml:space="preserve">Example 5.3.4 (0% accumulation review); example 5.3.5 (80% pension drawdown)</w:t>
      </w:r>
    </w:p>
    <w:p>
      <w:pPr>
        <w:spacing w:before="30" w:after="70" w:line="266"/>
      </w:pPr>
      <w:r>
        <w:rPr>
          <w:b/>
          <w:bCs/>
          <w:i w:val="false"/>
          <w:iCs w:val="false"/>
          <w:color w:val="1a1a1a"/>
          <w:sz w:val="19"/>
          <w:szCs w:val="19"/>
          <w:rFonts w:ascii="Nunito Sans" w:cs="Nunito Sans" w:eastAsia="Nunito Sans" w:hAnsi="Nunito Sans"/>
        </w:rPr>
        <w:t xml:space="preserve">Default invoice wording: </w:t>
      </w:r>
      <w:r>
        <w:rPr>
          <w:b w:val="false"/>
          <w:bCs w:val="false"/>
          <w:i/>
          <w:iCs/>
          <w:color w:val="1a1a1a"/>
          <w:sz w:val="19"/>
          <w:szCs w:val="19"/>
          <w:rFonts w:ascii="Nunito Sans" w:cs="Nunito Sans" w:eastAsia="Nunito Sans" w:hAnsi="Nunito Sans"/>
        </w:rPr>
        <w:t xml:space="preserve">“Advice on the tax treatment of superannuation pension income (s25-5)”</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when advice relates to recurring review of existing super/pension arrangements, pension drawdown management, existing portfolio oversight within pension/super and ongoing tax management.</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Two exemplar poles. A plain super PORTFOLIO review attracts 0% — example 5.3.4: “not managing individual tax affairs, not producing assessable income”. Reviewing an existing account-based PENSION portfolio and drawdown levels attracts 80% under s25-5 — example 5.3.5: advice on the tax implications of the income from the investments and any disposals. Use 0 for accumulation-only reviews and up to 80 where the recurring work is pension drawdown/tax management.</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Deductible only to the extent the recurring work manages pension tax treatment and the tax implications of the income; an accumulation portfolio review alone attracts nothing per example 5.3.4.</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annual review agenda, existing holding review, pension payment calculations, tax component/pension tax notes, investment review report and file note allocating private versus recurring management work.</w:t>
      </w:r>
    </w:p>
    <w:p>
      <w:pPr>
        <w:keepNext/>
        <w:spacing w:before="140" w:after="40"/>
      </w:pPr>
      <w:r>
        <w:rPr>
          <w:b/>
          <w:bCs/>
          <w:color w:val="0C2E3F"/>
          <w:sz w:val="21"/>
          <w:szCs w:val="21"/>
          <w:rFonts w:ascii="Nunito Sans" w:cs="Nunito Sans" w:eastAsia="Nunito Sans" w:hAnsi="Nunito Sans"/>
        </w:rPr>
        <w:t xml:space="preserve">Rollover Existing Super to New Fund/Platform</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10–25% (default 18%)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Non-Deductible</w:t>
      </w:r>
    </w:p>
    <w:p>
      <w:pPr>
        <w:spacing w:before="30" w:after="70" w:line="266"/>
      </w:pPr>
      <w:r>
        <w:rPr>
          <w:b/>
          <w:bCs/>
          <w:i w:val="false"/>
          <w:iCs w:val="false"/>
          <w:color w:val="1E7B4D"/>
          <w:sz w:val="19"/>
          <w:szCs w:val="19"/>
          <w:rFonts w:ascii="Nunito Sans" w:cs="Nunito Sans" w:eastAsia="Nunito Sans" w:hAnsi="Nunito Sans"/>
        </w:rPr>
        <w:t xml:space="preserve">Exemplar support: </w:t>
      </w:r>
      <w:r>
        <w:rPr>
          <w:b w:val="false"/>
          <w:bCs w:val="false"/>
          <w:i w:val="false"/>
          <w:iCs w:val="false"/>
          <w:color w:val="1E7B4D"/>
          <w:sz w:val="19"/>
          <w:szCs w:val="19"/>
          <w:rFonts w:ascii="Nunito Sans" w:cs="Nunito Sans" w:eastAsia="Nunito Sans" w:hAnsi="Nunito Sans"/>
        </w:rPr>
        <w:t xml:space="preserve">Exemplar invoice #1 "Product switches — Nil"; example 5.3.4 (0% portfolio review)</w:t>
      </w:r>
    </w:p>
    <w:p>
      <w:pPr>
        <w:spacing w:before="30" w:after="70" w:line="266"/>
      </w:pPr>
      <w:r>
        <w:rPr>
          <w:b/>
          <w:bCs/>
          <w:i w:val="false"/>
          <w:iCs w:val="false"/>
          <w:color w:val="1a1a1a"/>
          <w:sz w:val="19"/>
          <w:szCs w:val="19"/>
          <w:rFonts w:ascii="Nunito Sans" w:cs="Nunito Sans" w:eastAsia="Nunito Sans" w:hAnsi="Nunito Sans"/>
        </w:rPr>
        <w:t xml:space="preserve">Default invoice wording: </w:t>
      </w:r>
      <w:r>
        <w:rPr>
          <w:b w:val="false"/>
          <w:bCs w:val="false"/>
          <w:i/>
          <w:iCs/>
          <w:color w:val="1a1a1a"/>
          <w:sz w:val="19"/>
          <w:szCs w:val="19"/>
          <w:rFonts w:ascii="Nunito Sans" w:cs="Nunito Sans" w:eastAsia="Nunito Sans" w:hAnsi="Nunito Sans"/>
        </w:rPr>
        <w:t xml:space="preserve">“Advice on the operation of a Commonwealth law relating to taxation (s25-5)”</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when advice relates to transferring an existing super balance to a new fund or platform, including product comparison, fee analysis and implementation of rollover.</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No exemplar supports deductibility for a like-for-like fund/platform rollover — the character is product replacement and implementation, consistent with example 5.3.4’s 0% for the super portfolio review. A rollover to a NEW SMSF that includes advice on the tax implications is the exemplified 80% case — record it on the SMSF Establishment and Structuring row instead.</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Product replacement and implementation advice is capital/structural. The exemplified deductible rollover (to a new SMSF, including tax implications) is handled by the SMSF Establishment row.</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product comparison, rollover rationale, fee analysis, implementation notes, tax impact assessment if any and file note confirming why any tax-affairs component was isolated.</w:t>
      </w:r>
    </w:p>
    <w:p>
      <w:pPr>
        <w:keepNext/>
        <w:spacing w:before="140" w:after="40"/>
      </w:pPr>
      <w:r>
        <w:rPr>
          <w:b/>
          <w:bCs/>
          <w:color w:val="0C2E3F"/>
          <w:sz w:val="21"/>
          <w:szCs w:val="21"/>
          <w:rFonts w:ascii="Nunito Sans" w:cs="Nunito Sans" w:eastAsia="Nunito Sans" w:hAnsi="Nunito Sans"/>
        </w:rPr>
        <w:t xml:space="preserve">Consolidate Multiple Superannuation Accounts</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5–15% (default 10%)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0-10% (default 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s25-5</w:t>
      </w:r>
    </w:p>
    <w:p>
      <w:pPr>
        <w:spacing w:before="30" w:after="70" w:line="266"/>
      </w:pPr>
      <w:r>
        <w:rPr>
          <w:b/>
          <w:bCs/>
          <w:i w:val="false"/>
          <w:iCs w:val="false"/>
          <w:color w:val="B45309"/>
          <w:sz w:val="19"/>
          <w:szCs w:val="19"/>
          <w:rFonts w:ascii="Nunito Sans" w:cs="Nunito Sans" w:eastAsia="Nunito Sans" w:hAnsi="Nunito Sans"/>
        </w:rPr>
        <w:t xml:space="preserve">⚠ REQUIRES MANUAL REVIEW — not exemplar-backed: </w:t>
      </w:r>
      <w:r>
        <w:rPr>
          <w:b w:val="false"/>
          <w:bCs w:val="false"/>
          <w:i w:val="false"/>
          <w:iCs w:val="false"/>
          <w:color w:val="B45309"/>
          <w:sz w:val="19"/>
          <w:szCs w:val="19"/>
          <w:rFonts w:ascii="Nunito Sans" w:cs="Nunito Sans" w:eastAsia="Nunito Sans" w:hAnsi="Nunito Sans"/>
        </w:rPr>
        <w:t xml:space="preserve">No exemplar. Conservative 0–10% house range.</w:t>
      </w:r>
    </w:p>
    <w:p>
      <w:pPr>
        <w:spacing w:before="30" w:after="70" w:line="266"/>
      </w:pPr>
      <w:r>
        <w:rPr>
          <w:b/>
          <w:bCs/>
          <w:i w:val="false"/>
          <w:iCs w:val="false"/>
          <w:color w:val="1a1a1a"/>
          <w:sz w:val="19"/>
          <w:szCs w:val="19"/>
          <w:rFonts w:ascii="Nunito Sans" w:cs="Nunito Sans" w:eastAsia="Nunito Sans" w:hAnsi="Nunito Sans"/>
        </w:rPr>
        <w:t xml:space="preserve">Default invoice wording: </w:t>
      </w:r>
      <w:r>
        <w:rPr>
          <w:b w:val="false"/>
          <w:bCs w:val="false"/>
          <w:i/>
          <w:iCs/>
          <w:color w:val="1a1a1a"/>
          <w:sz w:val="19"/>
          <w:szCs w:val="19"/>
          <w:rFonts w:ascii="Nunito Sans" w:cs="Nunito Sans" w:eastAsia="Nunito Sans" w:hAnsi="Nunito Sans"/>
        </w:rPr>
        <w:t xml:space="preserve">“Advice on the tax implications of superannuation contribution caps (Concessional/Non-concessional) (s25-5)”</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when advice relates to consolidating multiple super accounts, reducing duplicate fees, reviewing insurance duplication and simplifying administration.</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Lower end where consolidation is administrative or convenience-driven. Higher end only where tax consequences, insurance duplication tax treatment, contribution cap interaction or pension implications are specifically analysed. Do not treat administrative consolidation as deductible.</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Mostly administrative/private super management with limited potential tax-affairs component if tax consequences are separately analysed.</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account summary, fee/insurance comparison, consolidation rationale, any tax impact notes and file note distinguishing administration from tax analysis.</w:t>
      </w:r>
    </w:p>
    <w:p>
      <w:pPr>
        <w:keepNext/>
        <w:spacing w:before="140" w:after="40"/>
      </w:pPr>
      <w:r>
        <w:rPr>
          <w:b/>
          <w:bCs/>
          <w:color w:val="0C2E3F"/>
          <w:sz w:val="21"/>
          <w:szCs w:val="21"/>
          <w:rFonts w:ascii="Nunito Sans" w:cs="Nunito Sans" w:eastAsia="Nunito Sans" w:hAnsi="Nunito Sans"/>
        </w:rPr>
        <w:t xml:space="preserve">Review/Optimise Investment Strategy within Super</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10–30% (default 20%)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Non-Deductible</w:t>
      </w:r>
    </w:p>
    <w:p>
      <w:pPr>
        <w:spacing w:before="30" w:after="70" w:line="266"/>
      </w:pPr>
      <w:r>
        <w:rPr>
          <w:b/>
          <w:bCs/>
          <w:i w:val="false"/>
          <w:iCs w:val="false"/>
          <w:color w:val="1E7B4D"/>
          <w:sz w:val="19"/>
          <w:szCs w:val="19"/>
          <w:rFonts w:ascii="Nunito Sans" w:cs="Nunito Sans" w:eastAsia="Nunito Sans" w:hAnsi="Nunito Sans"/>
        </w:rPr>
        <w:t xml:space="preserve">Exemplar support: </w:t>
      </w:r>
      <w:r>
        <w:rPr>
          <w:b w:val="false"/>
          <w:bCs w:val="false"/>
          <w:i w:val="false"/>
          <w:iCs w:val="false"/>
          <w:color w:val="1E7B4D"/>
          <w:sz w:val="19"/>
          <w:szCs w:val="19"/>
          <w:rFonts w:ascii="Nunito Sans" w:cs="Nunito Sans" w:eastAsia="Nunito Sans" w:hAnsi="Nunito Sans"/>
        </w:rPr>
        <w:t xml:space="preserve">Example 5.3.4 (0%)</w:t>
      </w:r>
    </w:p>
    <w:p>
      <w:pPr>
        <w:spacing w:before="30" w:after="70" w:line="266"/>
      </w:pPr>
      <w:r>
        <w:rPr>
          <w:b/>
          <w:bCs/>
          <w:i w:val="false"/>
          <w:iCs w:val="false"/>
          <w:color w:val="1a1a1a"/>
          <w:sz w:val="19"/>
          <w:szCs w:val="19"/>
          <w:rFonts w:ascii="Nunito Sans" w:cs="Nunito Sans" w:eastAsia="Nunito Sans" w:hAnsi="Nunito Sans"/>
        </w:rPr>
        <w:t xml:space="preserve">Default invoice wording: </w:t>
      </w:r>
      <w:r>
        <w:rPr>
          <w:b w:val="false"/>
          <w:bCs w:val="false"/>
          <w:i/>
          <w:iCs/>
          <w:color w:val="1a1a1a"/>
          <w:sz w:val="19"/>
          <w:szCs w:val="19"/>
          <w:rFonts w:ascii="Nunito Sans" w:cs="Nunito Sans" w:eastAsia="Nunito Sans" w:hAnsi="Nunito Sans"/>
        </w:rPr>
        <w:t xml:space="preserve">“Advice on the operation of a Commonwealth law relating to taxation (s25-5)”</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reviewing or optimising existing super investment options, asset allocation, risk profile and ongoing investment strategy within super/pension environment.</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Example 5.3.4 applies 0% to reviewing the super portfolio — “not managing individual tax affairs, not producing assessable income” — under both heads. Where the recurring work is PENSION drawdown/tax management, use the Ongoing Superannuation &amp; Pension Management row (up to 80% per example 5.3.5) instead.</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Reviewing/optimising the super investment strategy is neither managing the member’s tax affairs nor producing the member’s assessable income (example 5.3.4). Pension drawdown tax management belongs on the ongoing super &amp; pension row.</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investment option review, existing allocation analysis, income/tax notes, pension phase impact if relevant and file note explaining recurring management versus new strategy elements.</w:t>
      </w:r>
    </w:p>
    <w:p>
      <w:pPr>
        <w:pStyle w:val="Heading2"/>
        <w:spacing w:before="180" w:after="70"/>
      </w:pPr>
      <w:r>
        <w:rPr>
          <w:b/>
          <w:bCs/>
          <w:color w:val="2B6FD6"/>
          <w:sz w:val="23"/>
          <w:szCs w:val="23"/>
          <w:rFonts w:ascii="ABC Arizona Flare" w:cs="ABC Arizona Flare" w:eastAsia="ABC Arizona Flare" w:hAnsi="ABC Arizona Flare"/>
        </w:rPr>
        <w:t xml:space="preserve">Investments</w:t>
      </w:r>
    </w:p>
    <w:p>
      <w:pPr>
        <w:keepNext/>
        <w:spacing w:before="140" w:after="40"/>
      </w:pPr>
      <w:r>
        <w:rPr>
          <w:b/>
          <w:bCs/>
          <w:color w:val="0C2E3F"/>
          <w:sz w:val="21"/>
          <w:szCs w:val="21"/>
          <w:rFonts w:ascii="Nunito Sans" w:cs="Nunito Sans" w:eastAsia="Nunito Sans" w:hAnsi="Nunito Sans"/>
        </w:rPr>
        <w:t xml:space="preserve">Establish a New Investment Portfolio (from scratch)</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20–60% (default 40%)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Non-Deductible</w:t>
      </w:r>
    </w:p>
    <w:p>
      <w:pPr>
        <w:spacing w:before="30" w:after="70" w:line="266"/>
      </w:pPr>
      <w:r>
        <w:rPr>
          <w:b/>
          <w:bCs/>
          <w:i w:val="false"/>
          <w:iCs w:val="false"/>
          <w:color w:val="1E7B4D"/>
          <w:sz w:val="19"/>
          <w:szCs w:val="19"/>
          <w:rFonts w:ascii="Nunito Sans" w:cs="Nunito Sans" w:eastAsia="Nunito Sans" w:hAnsi="Nunito Sans"/>
        </w:rPr>
        <w:t xml:space="preserve">Exemplar support: </w:t>
      </w:r>
      <w:r>
        <w:rPr>
          <w:b w:val="false"/>
          <w:bCs w:val="false"/>
          <w:i w:val="false"/>
          <w:iCs w:val="false"/>
          <w:color w:val="1E7B4D"/>
          <w:sz w:val="19"/>
          <w:szCs w:val="19"/>
          <w:rFonts w:ascii="Nunito Sans" w:cs="Nunito Sans" w:eastAsia="Nunito Sans" w:hAnsi="Nunito Sans"/>
        </w:rPr>
        <w:t xml:space="preserve">TD 2024/7 para 28 footnote in example 5.3.5</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when advice establishes a new direct investment portfolio, deploys new capital, selects initial investment products or creates a new income-producing investment structure.</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Default 0% because establishment and acquisition advice is capital/preparatory. Only separately identify a tax-affairs component for distinct tax advice such as CGT/tax structure analysis. Do not allocate deductibility merely because the future portfolio may produce assessable income.</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Initial investment establishment is capital in nature and not sufficiently connected to current assessable income; separate tax-affairs work may be deductible under s25-5 if identifiable.</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SOA scope, new portfolio recommendations, capital deployment details and any separately costed/documented tax-affairs analysis supporting an override.</w:t>
      </w:r>
    </w:p>
    <w:p>
      <w:pPr>
        <w:keepNext/>
        <w:spacing w:before="140" w:after="40"/>
      </w:pPr>
      <w:r>
        <w:rPr>
          <w:b/>
          <w:bCs/>
          <w:color w:val="0C2E3F"/>
          <w:sz w:val="21"/>
          <w:szCs w:val="21"/>
          <w:rFonts w:ascii="Nunito Sans" w:cs="Nunito Sans" w:eastAsia="Nunito Sans" w:hAnsi="Nunito Sans"/>
        </w:rPr>
        <w:t xml:space="preserve">Ongoing Management of an Existing Investment Portfolio</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20–70% (default 45%)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70-80% (default 70%)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s25-5 &amp; s8-1</w:t>
      </w:r>
    </w:p>
    <w:p>
      <w:pPr>
        <w:spacing w:before="30" w:after="70" w:line="266"/>
      </w:pPr>
      <w:r>
        <w:rPr>
          <w:b/>
          <w:bCs/>
          <w:i w:val="false"/>
          <w:iCs w:val="false"/>
          <w:color w:val="1E7B4D"/>
          <w:sz w:val="19"/>
          <w:szCs w:val="19"/>
          <w:rFonts w:ascii="Nunito Sans" w:cs="Nunito Sans" w:eastAsia="Nunito Sans" w:hAnsi="Nunito Sans"/>
        </w:rPr>
        <w:t xml:space="preserve">Exemplar support: </w:t>
      </w:r>
      <w:r>
        <w:rPr>
          <w:b w:val="false"/>
          <w:bCs w:val="false"/>
          <w:i w:val="false"/>
          <w:iCs w:val="false"/>
          <w:color w:val="1E7B4D"/>
          <w:sz w:val="19"/>
          <w:szCs w:val="19"/>
          <w:rFonts w:ascii="Nunito Sans" w:cs="Nunito Sans" w:eastAsia="Nunito Sans" w:hAnsi="Nunito Sans"/>
        </w:rPr>
        <w:t xml:space="preserve">Example 5.3.4 (70%); example 5.3.5 and exemplar invoices (80%, both heads)</w:t>
      </w:r>
    </w:p>
    <w:p>
      <w:pPr>
        <w:spacing w:before="30" w:after="70" w:line="266"/>
      </w:pPr>
      <w:r>
        <w:rPr>
          <w:b/>
          <w:bCs/>
          <w:i w:val="false"/>
          <w:iCs w:val="false"/>
          <w:color w:val="1a1a1a"/>
          <w:sz w:val="19"/>
          <w:szCs w:val="19"/>
          <w:rFonts w:ascii="Nunito Sans" w:cs="Nunito Sans" w:eastAsia="Nunito Sans" w:hAnsi="Nunito Sans"/>
        </w:rPr>
        <w:t xml:space="preserve">Default invoice wording: </w:t>
      </w:r>
      <w:r>
        <w:rPr>
          <w:b w:val="false"/>
          <w:bCs w:val="false"/>
          <w:i/>
          <w:iCs/>
          <w:color w:val="1a1a1a"/>
          <w:sz w:val="19"/>
          <w:szCs w:val="19"/>
          <w:rFonts w:ascii="Nunito Sans" w:cs="Nunito Sans" w:eastAsia="Nunito Sans" w:hAnsi="Nunito Sans"/>
        </w:rPr>
        <w:t xml:space="preserve">“Advice on the tax implications of the income from existing investments and any disposals (s8-1 and s25-5)”</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when advice relates solely to recurring review, monitoring and management of existing income-producing investments already owned by the client.</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Exemplar range is 70-80%: example 5.3.4 applies 70% and example 5.3.5 and the firm exemplar invoices apply 80% to reviewing existing assessable-income-generating investments. The exemplars claim BOTH heads — s8-1 (managing existing income-producing assets) and s25-5 (advice on the tax implications of the income from the investments and any disposals). Reduce below 70 where the review bundles substantial new-capital deployment or lifestyle planning.</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Managing existing income-producing investments (s8-1) together with advice on the tax implications of the income from the investments and any disposals (s25-5) — both heads per the exemplars.</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list of existing income-producing assets, review notes, income/dividend/interest evidence, service period, rebalancing rationale and file note excluding private/capital advice components.</w:t>
      </w:r>
    </w:p>
    <w:p>
      <w:pPr>
        <w:keepNext/>
        <w:spacing w:before="140" w:after="40"/>
      </w:pPr>
      <w:r>
        <w:rPr>
          <w:b/>
          <w:bCs/>
          <w:color w:val="0C2E3F"/>
          <w:sz w:val="21"/>
          <w:szCs w:val="21"/>
          <w:rFonts w:ascii="Nunito Sans" w:cs="Nunito Sans" w:eastAsia="Nunito Sans" w:hAnsi="Nunito Sans"/>
        </w:rPr>
        <w:t xml:space="preserve">Investment Portfolio Review &amp; Rebalancing</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10–40% (default 25%)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70-80% (default 70%)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s25-5 &amp; s8-1</w:t>
      </w:r>
    </w:p>
    <w:p>
      <w:pPr>
        <w:spacing w:before="30" w:after="70" w:line="266"/>
      </w:pPr>
      <w:r>
        <w:rPr>
          <w:b/>
          <w:bCs/>
          <w:i w:val="false"/>
          <w:iCs w:val="false"/>
          <w:color w:val="B45309"/>
          <w:sz w:val="19"/>
          <w:szCs w:val="19"/>
          <w:rFonts w:ascii="Nunito Sans" w:cs="Nunito Sans" w:eastAsia="Nunito Sans" w:hAnsi="Nunito Sans"/>
        </w:rPr>
        <w:t xml:space="preserve">⚠ REQUIRES MANUAL REVIEW — not exemplar-backed: </w:t>
      </w:r>
      <w:r>
        <w:rPr>
          <w:b w:val="false"/>
          <w:bCs w:val="false"/>
          <w:i w:val="false"/>
          <w:iCs w:val="false"/>
          <w:color w:val="B45309"/>
          <w:sz w:val="19"/>
          <w:szCs w:val="19"/>
          <w:rFonts w:ascii="Nunito Sans" w:cs="Nunito Sans" w:eastAsia="Nunito Sans" w:hAnsi="Nunito Sans"/>
        </w:rPr>
        <w:t xml:space="preserve">No named exemplar row — 70–80% by analogy: treated as the exemplified review of existing income-producing investments.</w:t>
      </w:r>
    </w:p>
    <w:p>
      <w:pPr>
        <w:spacing w:before="30" w:after="70" w:line="266"/>
      </w:pPr>
      <w:r>
        <w:rPr>
          <w:b/>
          <w:bCs/>
          <w:i w:val="false"/>
          <w:iCs w:val="false"/>
          <w:color w:val="1a1a1a"/>
          <w:sz w:val="19"/>
          <w:szCs w:val="19"/>
          <w:rFonts w:ascii="Nunito Sans" w:cs="Nunito Sans" w:eastAsia="Nunito Sans" w:hAnsi="Nunito Sans"/>
        </w:rPr>
        <w:t xml:space="preserve">Default invoice wording: </w:t>
      </w:r>
      <w:r>
        <w:rPr>
          <w:b w:val="false"/>
          <w:bCs w:val="false"/>
          <w:i/>
          <w:iCs/>
          <w:color w:val="1a1a1a"/>
          <w:sz w:val="19"/>
          <w:szCs w:val="19"/>
          <w:rFonts w:ascii="Nunito Sans" w:cs="Nunito Sans" w:eastAsia="Nunito Sans" w:hAnsi="Nunito Sans"/>
        </w:rPr>
        <w:t xml:space="preserve">“Advice on the tax implications of the income from existing investments and any disposals (s8-1 and s25-5)”</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when advice reviews and rebalances an existing portfolio to maintain asset allocation, risk settings or income-producing investment strategy.</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Treated as the exemplified review of existing assessable-income-generating investments — 70% (example 5.3.4) to 80% (example 5.3.5 and the firm exemplar invoices), under both s8-1 and s25-5. Reduce where rebalancing involves substantial new capital deployment or first-time establishment.</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Deductible to the extent connected to maintenance of existing income-producing investments (s8-1) and advice on the tax implications of the income and any disposals (s25-5); acquisition/restructure components are capital and must be apportioned.</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pre/post portfolio allocation, rebalancing recommendation, existing holding list, income evidence and file note identifying any new investment/restructure component.</w:t>
      </w:r>
    </w:p>
    <w:p>
      <w:pPr>
        <w:keepNext/>
        <w:spacing w:before="140" w:after="40"/>
      </w:pPr>
      <w:r>
        <w:rPr>
          <w:b/>
          <w:bCs/>
          <w:color w:val="0C2E3F"/>
          <w:sz w:val="21"/>
          <w:szCs w:val="21"/>
          <w:rFonts w:ascii="Nunito Sans" w:cs="Nunito Sans" w:eastAsia="Nunito Sans" w:hAnsi="Nunito Sans"/>
        </w:rPr>
        <w:t xml:space="preserve">Gearing Strategy Advice (Deductible Debt)</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20–70% (default 45%)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70-100% (default 70%)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s8-1</w:t>
      </w:r>
    </w:p>
    <w:p>
      <w:pPr>
        <w:spacing w:before="30" w:after="70" w:line="266"/>
      </w:pPr>
      <w:r>
        <w:rPr>
          <w:b/>
          <w:bCs/>
          <w:i w:val="false"/>
          <w:iCs w:val="false"/>
          <w:color w:val="B45309"/>
          <w:sz w:val="19"/>
          <w:szCs w:val="19"/>
          <w:rFonts w:ascii="Nunito Sans" w:cs="Nunito Sans" w:eastAsia="Nunito Sans" w:hAnsi="Nunito Sans"/>
        </w:rPr>
        <w:t xml:space="preserve">⚠ REQUIRES MANUAL REVIEW — not exemplar-backed: </w:t>
      </w:r>
      <w:r>
        <w:rPr>
          <w:b w:val="false"/>
          <w:bCs w:val="false"/>
          <w:i w:val="false"/>
          <w:iCs w:val="false"/>
          <w:color w:val="B45309"/>
          <w:sz w:val="19"/>
          <w:szCs w:val="19"/>
          <w:rFonts w:ascii="Nunito Sans" w:cs="Nunito Sans" w:eastAsia="Nunito Sans" w:hAnsi="Nunito Sans"/>
        </w:rPr>
        <w:t xml:space="preserve">No exemplar — 70–100% is a HOUSE DECISION (debt structuring: investment property/share loans, refinancing). Nearest exemplar figure for any debt-adjacent advice is offset structuring at 20%.</w:t>
      </w:r>
    </w:p>
    <w:p>
      <w:pPr>
        <w:spacing w:before="30" w:after="70" w:line="266"/>
      </w:pPr>
      <w:r>
        <w:rPr>
          <w:b/>
          <w:bCs/>
          <w:i w:val="false"/>
          <w:iCs w:val="false"/>
          <w:color w:val="1a1a1a"/>
          <w:sz w:val="19"/>
          <w:szCs w:val="19"/>
          <w:rFonts w:ascii="Nunito Sans" w:cs="Nunito Sans" w:eastAsia="Nunito Sans" w:hAnsi="Nunito Sans"/>
        </w:rPr>
        <w:t xml:space="preserve">Default invoice wording: </w:t>
      </w:r>
      <w:r>
        <w:rPr>
          <w:b w:val="false"/>
          <w:bCs w:val="false"/>
          <w:i/>
          <w:iCs/>
          <w:color w:val="1a1a1a"/>
          <w:sz w:val="19"/>
          <w:szCs w:val="19"/>
          <w:rFonts w:ascii="Nunito Sans" w:cs="Nunito Sans" w:eastAsia="Nunito Sans" w:hAnsi="Nunito Sans"/>
        </w:rPr>
        <w:t xml:space="preserve">“Advice on managing a deductible investment loan (Gearing) (s8-1)”</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for debt structuring advice on investment borrowings — investment property loans, share/portfolio loans, refinancing and restructuring of deductible debt, loan splitting, borrowing to acquire or hold income-producing investments, interest deductibility and gearing tax consequences. (Bank account / mortgage offset structuring is a separate strategy.)</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House treatment is 70-100% — the advice manages deductible investment debt and its interest deductibility (s8-1 nexus to the investment income). Use the lower end where the work includes private/home-loan elements; 100 only where the engagement is wholly investment-debt structuring with documented purpose tracing.</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Structuring and managing deductible investment debt (property/share loans, refinancing) has an s8-1 nexus to the assessable income the borrowings produce; private debt elements are apportioned out.</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loan purpose notes, debt tracing worksheet, investment acquisition details, interest deductibility analysis, cashflow modelling and file note separating private debt advice.</w:t>
      </w:r>
    </w:p>
    <w:p>
      <w:pPr>
        <w:keepNext/>
        <w:spacing w:before="140" w:after="40"/>
      </w:pPr>
      <w:r>
        <w:rPr>
          <w:b/>
          <w:bCs/>
          <w:color w:val="0C2E3F"/>
          <w:sz w:val="21"/>
          <w:szCs w:val="21"/>
          <w:rFonts w:ascii="Nunito Sans" w:cs="Nunito Sans" w:eastAsia="Nunito Sans" w:hAnsi="Nunito Sans"/>
        </w:rPr>
        <w:t xml:space="preserve">ETF Investment Advice (related to existing portfolio)</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5–20% (default 13%)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70-80% (default 70%)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s25-5 &amp; s8-1</w:t>
      </w:r>
    </w:p>
    <w:p>
      <w:pPr>
        <w:spacing w:before="30" w:after="70" w:line="266"/>
      </w:pPr>
      <w:r>
        <w:rPr>
          <w:b/>
          <w:bCs/>
          <w:i w:val="false"/>
          <w:iCs w:val="false"/>
          <w:color w:val="B45309"/>
          <w:sz w:val="19"/>
          <w:szCs w:val="19"/>
          <w:rFonts w:ascii="Nunito Sans" w:cs="Nunito Sans" w:eastAsia="Nunito Sans" w:hAnsi="Nunito Sans"/>
        </w:rPr>
        <w:t xml:space="preserve">⚠ REQUIRES MANUAL REVIEW — not exemplar-backed: </w:t>
      </w:r>
      <w:r>
        <w:rPr>
          <w:b w:val="false"/>
          <w:bCs w:val="false"/>
          <w:i w:val="false"/>
          <w:iCs w:val="false"/>
          <w:color w:val="B45309"/>
          <w:sz w:val="19"/>
          <w:szCs w:val="19"/>
          <w:rFonts w:ascii="Nunito Sans" w:cs="Nunito Sans" w:eastAsia="Nunito Sans" w:hAnsi="Nunito Sans"/>
        </w:rPr>
        <w:t xml:space="preserve">No named exemplar row — 70–80% by analogy to the exemplified existing-investment review.</w:t>
      </w:r>
    </w:p>
    <w:p>
      <w:pPr>
        <w:spacing w:before="30" w:after="70" w:line="266"/>
      </w:pPr>
      <w:r>
        <w:rPr>
          <w:b/>
          <w:bCs/>
          <w:i w:val="false"/>
          <w:iCs w:val="false"/>
          <w:color w:val="1a1a1a"/>
          <w:sz w:val="19"/>
          <w:szCs w:val="19"/>
          <w:rFonts w:ascii="Nunito Sans" w:cs="Nunito Sans" w:eastAsia="Nunito Sans" w:hAnsi="Nunito Sans"/>
        </w:rPr>
        <w:t xml:space="preserve">Default invoice wording: </w:t>
      </w:r>
      <w:r>
        <w:rPr>
          <w:b w:val="false"/>
          <w:bCs w:val="false"/>
          <w:i/>
          <w:iCs/>
          <w:color w:val="1a1a1a"/>
          <w:sz w:val="19"/>
          <w:szCs w:val="19"/>
          <w:rFonts w:ascii="Nunito Sans" w:cs="Nunito Sans" w:eastAsia="Nunito Sans" w:hAnsi="Nunito Sans"/>
        </w:rPr>
        <w:t xml:space="preserve">“Advice on the tax implications of the income from existing investments and any disposals (s8-1 and s25-5)”</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when advice reviews ETF holdings within an existing portfolio or recommends ETF adjustments as part of ongoing management of existing income-producing investments.</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A species of the exemplified existing-investment review — 70-80% under both s8-1 and s25-5 (examples 5.3.4 / 5.3.5). Reduce where the ETF advice deploys new capital or creates a first-time portfolio.</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Deductible to extent advice maintains existing income-producing ETF holdings; new acquisition or restructure components are capital.</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ETF holding list, income/distribution evidence, review/rebalance rationale, any switch analysis and file note distinguishing existing portfolio review from new investment advice.</w:t>
      </w:r>
    </w:p>
    <w:p>
      <w:pPr>
        <w:keepNext/>
        <w:spacing w:before="140" w:after="40"/>
      </w:pPr>
      <w:r>
        <w:rPr>
          <w:b/>
          <w:bCs/>
          <w:color w:val="0C2E3F"/>
          <w:sz w:val="21"/>
          <w:szCs w:val="21"/>
          <w:rFonts w:ascii="Nunito Sans" w:cs="Nunito Sans" w:eastAsia="Nunito Sans" w:hAnsi="Nunito Sans"/>
        </w:rPr>
        <w:t xml:space="preserve">Managed Fund / LIC Investment Review</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5–20% (default 13%)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70-80% (default 70%)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s25-5 &amp; s8-1</w:t>
      </w:r>
    </w:p>
    <w:p>
      <w:pPr>
        <w:spacing w:before="30" w:after="70" w:line="266"/>
      </w:pPr>
      <w:r>
        <w:rPr>
          <w:b/>
          <w:bCs/>
          <w:i w:val="false"/>
          <w:iCs w:val="false"/>
          <w:color w:val="B45309"/>
          <w:sz w:val="19"/>
          <w:szCs w:val="19"/>
          <w:rFonts w:ascii="Nunito Sans" w:cs="Nunito Sans" w:eastAsia="Nunito Sans" w:hAnsi="Nunito Sans"/>
        </w:rPr>
        <w:t xml:space="preserve">⚠ REQUIRES MANUAL REVIEW — not exemplar-backed: </w:t>
      </w:r>
      <w:r>
        <w:rPr>
          <w:b w:val="false"/>
          <w:bCs w:val="false"/>
          <w:i w:val="false"/>
          <w:iCs w:val="false"/>
          <w:color w:val="B45309"/>
          <w:sz w:val="19"/>
          <w:szCs w:val="19"/>
          <w:rFonts w:ascii="Nunito Sans" w:cs="Nunito Sans" w:eastAsia="Nunito Sans" w:hAnsi="Nunito Sans"/>
        </w:rPr>
        <w:t xml:space="preserve">No named exemplar row — 70–80% by analogy to the exemplified existing-investment review.</w:t>
      </w:r>
    </w:p>
    <w:p>
      <w:pPr>
        <w:spacing w:before="30" w:after="70" w:line="266"/>
      </w:pPr>
      <w:r>
        <w:rPr>
          <w:b/>
          <w:bCs/>
          <w:i w:val="false"/>
          <w:iCs w:val="false"/>
          <w:color w:val="1a1a1a"/>
          <w:sz w:val="19"/>
          <w:szCs w:val="19"/>
          <w:rFonts w:ascii="Nunito Sans" w:cs="Nunito Sans" w:eastAsia="Nunito Sans" w:hAnsi="Nunito Sans"/>
        </w:rPr>
        <w:t xml:space="preserve">Default invoice wording: </w:t>
      </w:r>
      <w:r>
        <w:rPr>
          <w:b w:val="false"/>
          <w:bCs w:val="false"/>
          <w:i/>
          <w:iCs/>
          <w:color w:val="1a1a1a"/>
          <w:sz w:val="19"/>
          <w:szCs w:val="19"/>
          <w:rFonts w:ascii="Nunito Sans" w:cs="Nunito Sans" w:eastAsia="Nunito Sans" w:hAnsi="Nunito Sans"/>
        </w:rPr>
        <w:t xml:space="preserve">“Advice on the tax implications of the income from existing investments and any disposals (s8-1 and s25-5)”</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when advice reviews existing managed fund or LIC holdings, distributions, suitability and ongoing role in an income-producing portfolio.</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A species of the exemplified existing-investment review — 70-80% under both s8-1 and s25-5 (examples 5.3.4 / 5.3.5). Reduce where the advice replaces products or deploys new capital.</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s8-1 nexus exists to extent advice manages existing income-producing fund/LIC holdings; capital/replacement advice is apportioned out.</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fund/LIC holding details, distribution history, review notes, recommendation rationale and file note separating existing holding review from switching/acquisition.</w:t>
      </w:r>
    </w:p>
    <w:p>
      <w:pPr>
        <w:keepNext/>
        <w:spacing w:before="140" w:after="40"/>
      </w:pPr>
      <w:r>
        <w:rPr>
          <w:b/>
          <w:bCs/>
          <w:color w:val="0C2E3F"/>
          <w:sz w:val="21"/>
          <w:szCs w:val="21"/>
          <w:rFonts w:ascii="Nunito Sans" w:cs="Nunito Sans" w:eastAsia="Nunito Sans" w:hAnsi="Nunito Sans"/>
        </w:rPr>
        <w:t xml:space="preserve">Tax-Loss Harvesting Strategy</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5–20% (default 13%)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80-100% (default 80%)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s25-5</w:t>
      </w:r>
    </w:p>
    <w:p>
      <w:pPr>
        <w:spacing w:before="30" w:after="70" w:line="266"/>
      </w:pPr>
      <w:r>
        <w:rPr>
          <w:b/>
          <w:bCs/>
          <w:i w:val="false"/>
          <w:iCs w:val="false"/>
          <w:color w:val="B45309"/>
          <w:sz w:val="19"/>
          <w:szCs w:val="19"/>
          <w:rFonts w:ascii="Nunito Sans" w:cs="Nunito Sans" w:eastAsia="Nunito Sans" w:hAnsi="Nunito Sans"/>
        </w:rPr>
        <w:t xml:space="preserve">⚠ REQUIRES MANUAL REVIEW — not exemplar-backed: </w:t>
      </w:r>
      <w:r>
        <w:rPr>
          <w:b w:val="false"/>
          <w:bCs w:val="false"/>
          <w:i w:val="false"/>
          <w:iCs w:val="false"/>
          <w:color w:val="B45309"/>
          <w:sz w:val="19"/>
          <w:szCs w:val="19"/>
          <w:rFonts w:ascii="Nunito Sans" w:cs="Nunito Sans" w:eastAsia="Nunito Sans" w:hAnsi="Nunito Sans"/>
        </w:rPr>
        <w:t xml:space="preserve">No exemplar. 80–100% rests on the CGT-management reasoning of s25-5 alone.</w:t>
      </w:r>
    </w:p>
    <w:p>
      <w:pPr>
        <w:spacing w:before="30" w:after="70" w:line="266"/>
      </w:pPr>
      <w:r>
        <w:rPr>
          <w:b/>
          <w:bCs/>
          <w:i w:val="false"/>
          <w:iCs w:val="false"/>
          <w:color w:val="1a1a1a"/>
          <w:sz w:val="19"/>
          <w:szCs w:val="19"/>
          <w:rFonts w:ascii="Nunito Sans" w:cs="Nunito Sans" w:eastAsia="Nunito Sans" w:hAnsi="Nunito Sans"/>
        </w:rPr>
        <w:t xml:space="preserve">Default invoice wording: </w:t>
      </w:r>
      <w:r>
        <w:rPr>
          <w:b w:val="false"/>
          <w:bCs w:val="false"/>
          <w:i/>
          <w:iCs/>
          <w:color w:val="1a1a1a"/>
          <w:sz w:val="19"/>
          <w:szCs w:val="19"/>
          <w:rFonts w:ascii="Nunito Sans" w:cs="Nunito Sans" w:eastAsia="Nunito Sans" w:hAnsi="Nunito Sans"/>
        </w:rPr>
        <w:t xml:space="preserve">“Advice on managing Capital Gains Tax (CGT) implications of investments (s25-5)”</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when advice specifically analyses realised/unrealised capital losses, CGT position, loss offset strategy, tax-year timing and tax-loss harvesting implementation.</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Lower end where tax-loss discussion is incidental to general investment review. Higher end where CGT calculations, loss offset modelling, timing recommendations and tax consequences are central. Do not use where there is no actual CGT/tax-loss analysis.</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Primarily tax-affairs advice under s25-5 because the work manages CGT consequences and tax position.</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CGT schedules, realised/unrealised gain/loss analysis, tax-loss modelling, sale timing rationale, accountant coordination and written tax recommendation.</w:t>
      </w:r>
    </w:p>
    <w:p>
      <w:pPr>
        <w:keepNext/>
        <w:spacing w:before="140" w:after="40"/>
      </w:pPr>
      <w:r>
        <w:rPr>
          <w:b/>
          <w:bCs/>
          <w:color w:val="0C2E3F"/>
          <w:sz w:val="21"/>
          <w:szCs w:val="21"/>
          <w:rFonts w:ascii="Nunito Sans" w:cs="Nunito Sans" w:eastAsia="Nunito Sans" w:hAnsi="Nunito Sans"/>
        </w:rPr>
        <w:t xml:space="preserve">Investment Structuring Advice (e.g., Trust, Company)</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10–30% (default 20%)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80% (default 80%)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s25-5 &amp; s8-1</w:t>
      </w:r>
    </w:p>
    <w:p>
      <w:pPr>
        <w:spacing w:before="30" w:after="70" w:line="266"/>
      </w:pPr>
      <w:r>
        <w:rPr>
          <w:b/>
          <w:bCs/>
          <w:i w:val="false"/>
          <w:iCs w:val="false"/>
          <w:color w:val="1E7B4D"/>
          <w:sz w:val="19"/>
          <w:szCs w:val="19"/>
          <w:rFonts w:ascii="Nunito Sans" w:cs="Nunito Sans" w:eastAsia="Nunito Sans" w:hAnsi="Nunito Sans"/>
        </w:rPr>
        <w:t xml:space="preserve">Exemplar support: </w:t>
      </w:r>
      <w:r>
        <w:rPr>
          <w:b w:val="false"/>
          <w:bCs w:val="false"/>
          <w:i w:val="false"/>
          <w:iCs w:val="false"/>
          <w:color w:val="1E7B4D"/>
          <w:sz w:val="19"/>
          <w:szCs w:val="19"/>
          <w:rFonts w:ascii="Nunito Sans" w:cs="Nunito Sans" w:eastAsia="Nunito Sans" w:hAnsi="Nunito Sans"/>
        </w:rPr>
        <w:t xml:space="preserve">Strategy-basis exemplar (80%); exemplar invoice #2 (80%, both heads)</w:t>
      </w:r>
    </w:p>
    <w:p>
      <w:pPr>
        <w:spacing w:before="30" w:after="70" w:line="266"/>
      </w:pPr>
      <w:r>
        <w:rPr>
          <w:b/>
          <w:bCs/>
          <w:i w:val="false"/>
          <w:iCs w:val="false"/>
          <w:color w:val="1a1a1a"/>
          <w:sz w:val="19"/>
          <w:szCs w:val="19"/>
          <w:rFonts w:ascii="Nunito Sans" w:cs="Nunito Sans" w:eastAsia="Nunito Sans" w:hAnsi="Nunito Sans"/>
        </w:rPr>
        <w:t xml:space="preserve">Default invoice wording: </w:t>
      </w:r>
      <w:r>
        <w:rPr>
          <w:b w:val="false"/>
          <w:bCs w:val="false"/>
          <w:i/>
          <w:iCs/>
          <w:color w:val="1a1a1a"/>
          <w:sz w:val="19"/>
          <w:szCs w:val="19"/>
          <w:rFonts w:ascii="Nunito Sans" w:cs="Nunito Sans" w:eastAsia="Nunito Sans" w:hAnsi="Nunito Sans"/>
        </w:rPr>
        <w:t xml:space="preserve">“Advice on tax-effective investment structuring (e.g., ownership in trust, company, joint names) (s25-5)”</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when advice analyses investment ownership structure, trust/company use, income distribution, asset protection, tax rates, CGT and entity tax implications.</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Exemplar treatment is 80% — “structuring existing investments: consider the most tax-effective investment structure; impacts of income on tax position” (strategy-basis exemplar), and the firm exemplar invoice’s investment-ownership rows (family trusts, CGT and taxable income) cite both s8-1 and s25-5 at 80%. Reduce where the work is mainly asset protection or new-entity establishment.</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Considering the most tax-effective ownership of existing investments — family trusts, CGT and taxable income — citing both s8-1 and s25-5 per the exemplars.</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structure comparison, tax outcome modelling, trust/company tax notes, asset protection rationale, implementation scope and file note allocating tax versus capital/structural work.</w:t>
      </w:r>
    </w:p>
    <w:p>
      <w:pPr>
        <w:keepNext/>
        <w:spacing w:before="140" w:after="40"/>
      </w:pPr>
      <w:r>
        <w:rPr>
          <w:b/>
          <w:bCs/>
          <w:color w:val="0C2E3F"/>
          <w:sz w:val="21"/>
          <w:szCs w:val="21"/>
          <w:rFonts w:ascii="Nunito Sans" w:cs="Nunito Sans" w:eastAsia="Nunito Sans" w:hAnsi="Nunito Sans"/>
        </w:rPr>
        <w:t xml:space="preserve">Investment Bond Advice</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5–20% (default 13%)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80% (default 80%)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s25-5</w:t>
      </w:r>
    </w:p>
    <w:p>
      <w:pPr>
        <w:spacing w:before="30" w:after="70" w:line="266"/>
      </w:pPr>
      <w:r>
        <w:rPr>
          <w:b/>
          <w:bCs/>
          <w:i w:val="false"/>
          <w:iCs w:val="false"/>
          <w:color w:val="1E7B4D"/>
          <w:sz w:val="19"/>
          <w:szCs w:val="19"/>
          <w:rFonts w:ascii="Nunito Sans" w:cs="Nunito Sans" w:eastAsia="Nunito Sans" w:hAnsi="Nunito Sans"/>
        </w:rPr>
        <w:t xml:space="preserve">Exemplar support: </w:t>
      </w:r>
      <w:r>
        <w:rPr>
          <w:b w:val="false"/>
          <w:bCs w:val="false"/>
          <w:i w:val="false"/>
          <w:iCs w:val="false"/>
          <w:color w:val="1E7B4D"/>
          <w:sz w:val="19"/>
          <w:szCs w:val="19"/>
          <w:rFonts w:ascii="Nunito Sans" w:cs="Nunito Sans" w:eastAsia="Nunito Sans" w:hAnsi="Nunito Sans"/>
        </w:rPr>
        <w:t xml:space="preserve">Dave &amp; Sally (s25-5); exemplar invoice #2 (80%)</w:t>
      </w:r>
    </w:p>
    <w:p>
      <w:pPr>
        <w:spacing w:before="30" w:after="70" w:line="266"/>
      </w:pPr>
      <w:r>
        <w:rPr>
          <w:b/>
          <w:bCs/>
          <w:i w:val="false"/>
          <w:iCs w:val="false"/>
          <w:color w:val="1a1a1a"/>
          <w:sz w:val="19"/>
          <w:szCs w:val="19"/>
          <w:rFonts w:ascii="Nunito Sans" w:cs="Nunito Sans" w:eastAsia="Nunito Sans" w:hAnsi="Nunito Sans"/>
        </w:rPr>
        <w:t xml:space="preserve">Default invoice wording: </w:t>
      </w:r>
      <w:r>
        <w:rPr>
          <w:b w:val="false"/>
          <w:bCs w:val="false"/>
          <w:i/>
          <w:iCs/>
          <w:color w:val="1a1a1a"/>
          <w:sz w:val="19"/>
          <w:szCs w:val="19"/>
          <w:rFonts w:ascii="Nunito Sans" w:cs="Nunito Sans" w:eastAsia="Nunito Sans" w:hAnsi="Nunito Sans"/>
        </w:rPr>
        <w:t xml:space="preserve">“Advice on structuring assets to reduce assessable income via an internally taxed investment bond (s25-5)”</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when advice recommends or reviews an investment/education bond as a structure to reduce assessable income — internally taxed (tax-paid) bond features, ownership, the 10-year and 125% rules and the tax implications of investing via the bond.</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Exemplar treatment is 80% under s25-5 — structuring assets to reduce assessable income by investing in an internally taxed investment bond, including advising on the tax implications (Dave &amp; Sally exemplar; the firm exemplar invoice applies 80% to investment &amp; education bonds). Reduce where the advice is mainly product selection with no tax analysis.</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Structuring assets to reduce assessable income via an internally taxed investment bond, including the tax implications of investing in the bond — s25-5 per the exemplars.</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the bond recommendation, taxable-income comparison (personal marginal rate vs the 30% internally taxed rate), 10-year/125% rule notes and the tax analysis in the advice document.</w:t>
      </w:r>
    </w:p>
    <w:p>
      <w:pPr>
        <w:pStyle w:val="Heading2"/>
        <w:spacing w:before="180" w:after="70"/>
      </w:pPr>
      <w:r>
        <w:rPr>
          <w:b/>
          <w:bCs/>
          <w:color w:val="2B6FD6"/>
          <w:sz w:val="23"/>
          <w:szCs w:val="23"/>
          <w:rFonts w:ascii="ABC Arizona Flare" w:cs="ABC Arizona Flare" w:eastAsia="ABC Arizona Flare" w:hAnsi="ABC Arizona Flare"/>
        </w:rPr>
        <w:t xml:space="preserve">Insurance</w:t>
      </w:r>
    </w:p>
    <w:p>
      <w:pPr>
        <w:keepNext/>
        <w:spacing w:before="140" w:after="40"/>
      </w:pPr>
      <w:r>
        <w:rPr>
          <w:b/>
          <w:bCs/>
          <w:color w:val="0C2E3F"/>
          <w:sz w:val="21"/>
          <w:szCs w:val="21"/>
          <w:rFonts w:ascii="Nunito Sans" w:cs="Nunito Sans" w:eastAsia="Nunito Sans" w:hAnsi="Nunito Sans"/>
        </w:rPr>
        <w:t xml:space="preserve">Income Protection Insurance Application/Review</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5–20% (default 13%)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100% (default 100%)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s25-5 &amp; s8-1</w:t>
      </w:r>
    </w:p>
    <w:p>
      <w:pPr>
        <w:spacing w:before="30" w:after="70" w:line="266"/>
      </w:pPr>
      <w:r>
        <w:rPr>
          <w:b/>
          <w:bCs/>
          <w:i w:val="false"/>
          <w:iCs w:val="false"/>
          <w:color w:val="1E7B4D"/>
          <w:sz w:val="19"/>
          <w:szCs w:val="19"/>
          <w:rFonts w:ascii="Nunito Sans" w:cs="Nunito Sans" w:eastAsia="Nunito Sans" w:hAnsi="Nunito Sans"/>
        </w:rPr>
        <w:t xml:space="preserve">Exemplar support: </w:t>
      </w:r>
      <w:r>
        <w:rPr>
          <w:b w:val="false"/>
          <w:bCs w:val="false"/>
          <w:i w:val="false"/>
          <w:iCs w:val="false"/>
          <w:color w:val="1E7B4D"/>
          <w:sz w:val="19"/>
          <w:szCs w:val="19"/>
          <w:rFonts w:ascii="Nunito Sans" w:cs="Nunito Sans" w:eastAsia="Nunito Sans" w:hAnsi="Nunito Sans"/>
        </w:rPr>
        <w:t xml:space="preserve">Example 5.3.4 (100%, s25-5 &amp; s8-1); strategy-basis exemplar (100%)</w:t>
      </w:r>
    </w:p>
    <w:p>
      <w:pPr>
        <w:spacing w:before="30" w:after="70" w:line="266"/>
      </w:pPr>
      <w:r>
        <w:rPr>
          <w:b/>
          <w:bCs/>
          <w:i w:val="false"/>
          <w:iCs w:val="false"/>
          <w:color w:val="1a1a1a"/>
          <w:sz w:val="19"/>
          <w:szCs w:val="19"/>
          <w:rFonts w:ascii="Nunito Sans" w:cs="Nunito Sans" w:eastAsia="Nunito Sans" w:hAnsi="Nunito Sans"/>
        </w:rPr>
        <w:t xml:space="preserve">Default invoice wording: </w:t>
      </w:r>
      <w:r>
        <w:rPr>
          <w:b w:val="false"/>
          <w:bCs w:val="false"/>
          <w:i/>
          <w:iCs/>
          <w:color w:val="1a1a1a"/>
          <w:sz w:val="19"/>
          <w:szCs w:val="19"/>
          <w:rFonts w:ascii="Nunito Sans" w:cs="Nunito Sans" w:eastAsia="Nunito Sans" w:hAnsi="Nunito Sans"/>
        </w:rPr>
        <w:t xml:space="preserve">“Tax-deductible premiums for covering assessable income (s8-1 and s25-5)”</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when advice specifically relates to income protection cover held personally (policy owned and premiums paid by the client), premium deductibility, benefit design and protection of assessable income. For cover held or funded through superannuation, use the 'held via superannuation' row instead — the personal s8-1 nexus does not apply there.</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Exemplar treatment is 100% — tax-deductible premiums for covering assessable income (example 5.3.4 and the strategy-basis exemplar both apply 100% to personally held IP; 5.3.4 marks it deductible under both s25-5 and s8-1). Prefer SEPARATE rows: personally held IP (100%), super-held Life/TPD (20%), outside-super Life/TPD/trauma (0%). Where one combined line is unavoidable, calculate the blended % from the documented allocation of the ADVICE WORK between components (e.g. a genuine 50:50 IP / super-held Life-TPD split gives 60%) — do not default to the exemplar invoice’s 65%, and do not use the premium split as the allocation basis unless the file explains why it is a reasonable proxy.</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Strong s8-1 nexus where advice relates to insurance that protects assessable income, subject to apportionment for bundled cover.</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insurance needs analysis, policy schedule, premium split, income evidence, deductible premium/tax note and file note excluding life/TPD/trauma components.</w:t>
      </w:r>
    </w:p>
    <w:p>
      <w:pPr>
        <w:keepNext/>
        <w:spacing w:before="140" w:after="40"/>
      </w:pPr>
      <w:r>
        <w:rPr>
          <w:b/>
          <w:bCs/>
          <w:color w:val="0C2E3F"/>
          <w:sz w:val="21"/>
          <w:szCs w:val="21"/>
          <w:rFonts w:ascii="Nunito Sans" w:cs="Nunito Sans" w:eastAsia="Nunito Sans" w:hAnsi="Nunito Sans"/>
        </w:rPr>
        <w:t xml:space="preserve">Income Protection Insurance (held via superannuation)</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5–20% (default 13%)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0-20% (default 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s25-5</w:t>
      </w:r>
    </w:p>
    <w:p>
      <w:pPr>
        <w:spacing w:before="30" w:after="70" w:line="266"/>
      </w:pPr>
      <w:r>
        <w:rPr>
          <w:b/>
          <w:bCs/>
          <w:i w:val="false"/>
          <w:iCs w:val="false"/>
          <w:color w:val="B45309"/>
          <w:sz w:val="19"/>
          <w:szCs w:val="19"/>
          <w:rFonts w:ascii="Nunito Sans" w:cs="Nunito Sans" w:eastAsia="Nunito Sans" w:hAnsi="Nunito Sans"/>
        </w:rPr>
        <w:t xml:space="preserve">⚠ REQUIRES MANUAL REVIEW — not exemplar-backed: </w:t>
      </w:r>
      <w:r>
        <w:rPr>
          <w:b w:val="false"/>
          <w:bCs w:val="false"/>
          <w:i w:val="false"/>
          <w:iCs w:val="false"/>
          <w:color w:val="B45309"/>
          <w:sz w:val="19"/>
          <w:szCs w:val="19"/>
          <w:rFonts w:ascii="Nunito Sans" w:cs="Nunito Sans" w:eastAsia="Nunito Sans" w:hAnsi="Nunito Sans"/>
        </w:rPr>
        <w:t xml:space="preserve">No standalone exemplar (the 65% exemplar line is a blend). Conservative 0–20% house range.</w:t>
      </w:r>
    </w:p>
    <w:p>
      <w:pPr>
        <w:spacing w:before="30" w:after="70" w:line="266"/>
      </w:pPr>
      <w:r>
        <w:rPr>
          <w:b/>
          <w:bCs/>
          <w:i w:val="false"/>
          <w:iCs w:val="false"/>
          <w:color w:val="1a1a1a"/>
          <w:sz w:val="19"/>
          <w:szCs w:val="19"/>
          <w:rFonts w:ascii="Nunito Sans" w:cs="Nunito Sans" w:eastAsia="Nunito Sans" w:hAnsi="Nunito Sans"/>
        </w:rPr>
        <w:t xml:space="preserve">Default invoice wording: </w:t>
      </w:r>
      <w:r>
        <w:rPr>
          <w:b w:val="false"/>
          <w:bCs w:val="false"/>
          <w:i/>
          <w:iCs/>
          <w:color w:val="1a1a1a"/>
          <w:sz w:val="19"/>
          <w:szCs w:val="19"/>
          <w:rFonts w:ascii="Nunito Sans" w:cs="Nunito Sans" w:eastAsia="Nunito Sans" w:hAnsi="Nunito Sans"/>
        </w:rPr>
        <w:t xml:space="preserve">“Advice on the operation of a Commonwealth law relating to taxation (s25-5)”</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when advice relates to income protection cover held or funded through superannuation — the policy is owned by the trustee and premiums are paid from the member's super balance.</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Default 0%. The premiums are paid and deducted by the super fund, not the member, so the member has no personal s8-1 nexus even though a benefit would be assessable when paid. Only claim a small s25-5 component where distinct tax-affairs analysis (e.g. the tax treatment of premiums and benefits inside super, inside-vs-outside comparison) is separately documented. Personally-held income protection uses the standard row instead.</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Super-held income protection is a superannuation arrangement — the member's advice fee is private/super in character. Any deductible element is limited to identifiable tax-affairs advice under s25-5 provided by a recognised tax adviser.</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policy ownership and premium-funding details, fund premium deduction records, any separately scoped tax analysis and a file note supporting any override above 0%.</w:t>
      </w:r>
    </w:p>
    <w:p>
      <w:pPr>
        <w:keepNext/>
        <w:spacing w:before="140" w:after="40"/>
      </w:pPr>
      <w:r>
        <w:rPr>
          <w:b/>
          <w:bCs/>
          <w:color w:val="0C2E3F"/>
          <w:sz w:val="21"/>
          <w:szCs w:val="21"/>
          <w:rFonts w:ascii="Nunito Sans" w:cs="Nunito Sans" w:eastAsia="Nunito Sans" w:hAnsi="Nunito Sans"/>
        </w:rPr>
        <w:t xml:space="preserve">Personal Life/TPD/Trauma Insurance Advice (outside super)</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5–20% (default 13%)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Non-Deductible</w:t>
      </w:r>
    </w:p>
    <w:p>
      <w:pPr>
        <w:spacing w:before="30" w:after="70" w:line="266"/>
      </w:pPr>
      <w:r>
        <w:rPr>
          <w:b/>
          <w:bCs/>
          <w:i w:val="false"/>
          <w:iCs w:val="false"/>
          <w:color w:val="1E7B4D"/>
          <w:sz w:val="19"/>
          <w:szCs w:val="19"/>
          <w:rFonts w:ascii="Nunito Sans" w:cs="Nunito Sans" w:eastAsia="Nunito Sans" w:hAnsi="Nunito Sans"/>
        </w:rPr>
        <w:t xml:space="preserve">Exemplar support: </w:t>
      </w:r>
      <w:r>
        <w:rPr>
          <w:b w:val="false"/>
          <w:bCs w:val="false"/>
          <w:i w:val="false"/>
          <w:iCs w:val="false"/>
          <w:color w:val="1E7B4D"/>
          <w:sz w:val="19"/>
          <w:szCs w:val="19"/>
          <w:rFonts w:ascii="Nunito Sans" w:cs="Nunito Sans" w:eastAsia="Nunito Sans" w:hAnsi="Nunito Sans"/>
        </w:rPr>
        <w:t xml:space="preserve">Nil claim — consistent with the exemplars’ 20% rationale applying only to super-held benefits</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when advice relates to personal life, TPD or trauma cover held outside super for family protection, debt protection or personal risk management.</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Default 0% because the advice is private protection. Trauma in particular must not inherit the 20% super-held treatment — the exemplar’s 20% rationale is superannuation benefit taxation, which cannot apply to personally held cover. Only allow an override where separately identifiable tax-affairs advice is documented with a written rationale.</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Personal protection advice is private/domestic and not sufficiently connected to assessable income production.</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policy recommendation, insurance scope, premium split and file note confirming private protection character.</w:t>
      </w:r>
    </w:p>
    <w:p>
      <w:pPr>
        <w:keepNext/>
        <w:spacing w:before="140" w:after="40"/>
      </w:pPr>
      <w:r>
        <w:rPr>
          <w:b/>
          <w:bCs/>
          <w:color w:val="0C2E3F"/>
          <w:sz w:val="21"/>
          <w:szCs w:val="21"/>
          <w:rFonts w:ascii="Nunito Sans" w:cs="Nunito Sans" w:eastAsia="Nunito Sans" w:hAnsi="Nunito Sans"/>
        </w:rPr>
        <w:t xml:space="preserve">Super-owned Life/TPD Insurance Advice</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5–20% (default 13%)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20% (default 20%)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s25-5</w:t>
      </w:r>
    </w:p>
    <w:p>
      <w:pPr>
        <w:spacing w:before="30" w:after="70" w:line="266"/>
      </w:pPr>
      <w:r>
        <w:rPr>
          <w:b/>
          <w:bCs/>
          <w:i w:val="false"/>
          <w:iCs w:val="false"/>
          <w:color w:val="1E7B4D"/>
          <w:sz w:val="19"/>
          <w:szCs w:val="19"/>
          <w:rFonts w:ascii="Nunito Sans" w:cs="Nunito Sans" w:eastAsia="Nunito Sans" w:hAnsi="Nunito Sans"/>
        </w:rPr>
        <w:t xml:space="preserve">Exemplar support: </w:t>
      </w:r>
      <w:r>
        <w:rPr>
          <w:b w:val="false"/>
          <w:bCs w:val="false"/>
          <w:i w:val="false"/>
          <w:iCs w:val="false"/>
          <w:color w:val="1E7B4D"/>
          <w:sz w:val="19"/>
          <w:szCs w:val="19"/>
          <w:rFonts w:ascii="Nunito Sans" w:cs="Nunito Sans" w:eastAsia="Nunito Sans" w:hAnsi="Nunito Sans"/>
        </w:rPr>
        <w:t xml:space="preserve">Example 5.3.4 and strategy-basis exemplar (20% s25-5)</w:t>
      </w:r>
    </w:p>
    <w:p>
      <w:pPr>
        <w:spacing w:before="30" w:after="70" w:line="266"/>
      </w:pPr>
      <w:r>
        <w:rPr>
          <w:b/>
          <w:bCs/>
          <w:i w:val="false"/>
          <w:iCs w:val="false"/>
          <w:color w:val="1a1a1a"/>
          <w:sz w:val="19"/>
          <w:szCs w:val="19"/>
          <w:rFonts w:ascii="Nunito Sans" w:cs="Nunito Sans" w:eastAsia="Nunito Sans" w:hAnsi="Nunito Sans"/>
        </w:rPr>
        <w:t xml:space="preserve">Default invoice wording: </w:t>
      </w:r>
      <w:r>
        <w:rPr>
          <w:b w:val="false"/>
          <w:bCs w:val="false"/>
          <w:i/>
          <w:iCs/>
          <w:color w:val="1a1a1a"/>
          <w:sz w:val="19"/>
          <w:szCs w:val="19"/>
          <w:rFonts w:ascii="Nunito Sans" w:cs="Nunito Sans" w:eastAsia="Nunito Sans" w:hAnsi="Nunito Sans"/>
        </w:rPr>
        <w:t xml:space="preserve">“Advice on the tax implications of super-held insurance benefits (e.g. payment before age 60 or to a non-dependant) (s25-5)”</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when advice relates to life or TPD cover held within super, including ownership structure, premium funding and benefit payment consequences.</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Exemplar treatment is 20% under s25-5 — “consideration of tax implications if funds are paid out before age 60 or to a non-dependent beneficiary” (example 5.3.4 and the strategy-basis exemplar both apply 20%). That rationale is superannuation benefit taxation, so it supports super-held Life/TPD only: personally held trauma stays on the 0% outside-super row and must NOT inherit the 20% merely because the exemplar’s combined label mentions trauma. The premiums themselves are never deductible to the member — this percentage is for the ADVICE FEE only. The remaining 80% is private protection advice.</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Reviewing super-held life/TPD cover includes advising on the tax implications of benefits paid before age 60 or to non-dependants — a 20% s25-5 component per the exemplars.</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the cover review, benefit tax analysis (pre-age-60 / non-dependant), beneficiary notes and the advice document.</w:t>
      </w:r>
    </w:p>
    <w:p>
      <w:pPr>
        <w:keepNext/>
        <w:spacing w:before="140" w:after="40"/>
      </w:pPr>
      <w:r>
        <w:rPr>
          <w:b/>
          <w:bCs/>
          <w:color w:val="0C2E3F"/>
          <w:sz w:val="21"/>
          <w:szCs w:val="21"/>
          <w:rFonts w:ascii="Nunito Sans" w:cs="Nunito Sans" w:eastAsia="Nunito Sans" w:hAnsi="Nunito Sans"/>
        </w:rPr>
        <w:t xml:space="preserve">Advice on Structuring Insurance Inside vs. Outside Super</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5–20% (default 13%)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0-30% (default 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s25-5</w:t>
      </w:r>
    </w:p>
    <w:p>
      <w:pPr>
        <w:spacing w:before="30" w:after="70" w:line="266"/>
      </w:pPr>
      <w:r>
        <w:rPr>
          <w:b/>
          <w:bCs/>
          <w:i w:val="false"/>
          <w:iCs w:val="false"/>
          <w:color w:val="B45309"/>
          <w:sz w:val="19"/>
          <w:szCs w:val="19"/>
          <w:rFonts w:ascii="Nunito Sans" w:cs="Nunito Sans" w:eastAsia="Nunito Sans" w:hAnsi="Nunito Sans"/>
        </w:rPr>
        <w:t xml:space="preserve">⚠ REQUIRES MANUAL REVIEW — not exemplar-backed: </w:t>
      </w:r>
      <w:r>
        <w:rPr>
          <w:b w:val="false"/>
          <w:bCs w:val="false"/>
          <w:i w:val="false"/>
          <w:iCs w:val="false"/>
          <w:color w:val="B45309"/>
          <w:sz w:val="19"/>
          <w:szCs w:val="19"/>
          <w:rFonts w:ascii="Nunito Sans" w:cs="Nunito Sans" w:eastAsia="Nunito Sans" w:hAnsi="Nunito Sans"/>
        </w:rPr>
        <w:t xml:space="preserve">No exemplar. Conservative 0–30% house range.</w:t>
      </w:r>
    </w:p>
    <w:p>
      <w:pPr>
        <w:spacing w:before="30" w:after="70" w:line="266"/>
      </w:pPr>
      <w:r>
        <w:rPr>
          <w:b/>
          <w:bCs/>
          <w:i w:val="false"/>
          <w:iCs w:val="false"/>
          <w:color w:val="1a1a1a"/>
          <w:sz w:val="19"/>
          <w:szCs w:val="19"/>
          <w:rFonts w:ascii="Nunito Sans" w:cs="Nunito Sans" w:eastAsia="Nunito Sans" w:hAnsi="Nunito Sans"/>
        </w:rPr>
        <w:t xml:space="preserve">Default invoice wording: </w:t>
      </w:r>
      <w:r>
        <w:rPr>
          <w:b w:val="false"/>
          <w:bCs w:val="false"/>
          <w:i/>
          <w:iCs/>
          <w:color w:val="1a1a1a"/>
          <w:sz w:val="19"/>
          <w:szCs w:val="19"/>
          <w:rFonts w:ascii="Nunito Sans" w:cs="Nunito Sans" w:eastAsia="Nunito Sans" w:hAnsi="Nunito Sans"/>
        </w:rPr>
        <w:t xml:space="preserve">“Advice on the operation of a Commonwealth law relating to taxation (s25-5)”</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when advice compares insurance ownership inside versus outside super, premium funding, tax consequences, cashflow and benefit payment implications.</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Lower end where advice is mainly personal protection or affordability. Higher end where tax treatment of premiums/benefits, contribution funding and super tax consequences are detailed. Do not include underlying life/TPD/trauma advice as deductible.</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Mixed insurance structuring advice with limited tax-affairs component; personal protection purpose remains largely private.</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inside/outside super comparison, premium funding analysis, tax treatment notes, benefit payment analysis and allocation between protection advice and tax structuring.</w:t>
      </w:r>
    </w:p>
    <w:p>
      <w:pPr>
        <w:keepNext/>
        <w:spacing w:before="140" w:after="40"/>
      </w:pPr>
      <w:r>
        <w:rPr>
          <w:b/>
          <w:bCs/>
          <w:color w:val="0C2E3F"/>
          <w:sz w:val="21"/>
          <w:szCs w:val="21"/>
          <w:rFonts w:ascii="Nunito Sans" w:cs="Nunito Sans" w:eastAsia="Nunito Sans" w:hAnsi="Nunito Sans"/>
        </w:rPr>
        <w:t xml:space="preserve">Business Expenses Insurance Advice</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5–15% (default 10%)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70-100% (default 70%)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s8-1</w:t>
      </w:r>
    </w:p>
    <w:p>
      <w:pPr>
        <w:spacing w:before="30" w:after="70" w:line="266"/>
      </w:pPr>
      <w:r>
        <w:rPr>
          <w:b/>
          <w:bCs/>
          <w:i w:val="false"/>
          <w:iCs w:val="false"/>
          <w:color w:val="B45309"/>
          <w:sz w:val="19"/>
          <w:szCs w:val="19"/>
          <w:rFonts w:ascii="Nunito Sans" w:cs="Nunito Sans" w:eastAsia="Nunito Sans" w:hAnsi="Nunito Sans"/>
        </w:rPr>
        <w:t xml:space="preserve">⚠ REQUIRES MANUAL REVIEW — not exemplar-backed: </w:t>
      </w:r>
      <w:r>
        <w:rPr>
          <w:b w:val="false"/>
          <w:bCs w:val="false"/>
          <w:i w:val="false"/>
          <w:iCs w:val="false"/>
          <w:color w:val="B45309"/>
          <w:sz w:val="19"/>
          <w:szCs w:val="19"/>
          <w:rFonts w:ascii="Nunito Sans" w:cs="Nunito Sans" w:eastAsia="Nunito Sans" w:hAnsi="Nunito Sans"/>
        </w:rPr>
        <w:t xml:space="preserve">No exemplar. 70–100% rests on the standard s8-1 premium-deductibility position.</w:t>
      </w:r>
    </w:p>
    <w:p>
      <w:pPr>
        <w:spacing w:before="30" w:after="70" w:line="266"/>
      </w:pPr>
      <w:r>
        <w:rPr>
          <w:b/>
          <w:bCs/>
          <w:i w:val="false"/>
          <w:iCs w:val="false"/>
          <w:color w:val="1a1a1a"/>
          <w:sz w:val="19"/>
          <w:szCs w:val="19"/>
          <w:rFonts w:ascii="Nunito Sans" w:cs="Nunito Sans" w:eastAsia="Nunito Sans" w:hAnsi="Nunito Sans"/>
        </w:rPr>
        <w:t xml:space="preserve">Default invoice wording: </w:t>
      </w:r>
      <w:r>
        <w:rPr>
          <w:b w:val="false"/>
          <w:bCs w:val="false"/>
          <w:i/>
          <w:iCs/>
          <w:color w:val="1a1a1a"/>
          <w:sz w:val="19"/>
          <w:szCs w:val="19"/>
          <w:rFonts w:ascii="Nunito Sans" w:cs="Nunito Sans" w:eastAsia="Nunito Sans" w:hAnsi="Nunito Sans"/>
        </w:rPr>
        <w:t xml:space="preserve">“Premiums are tax-deductible as the policy secures assessable replacement income (e.g., Income Protection) (s8-1)”</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when advice relates to business expenses insurance or revenue protection cover intended to maintain business income or deductible operating expenses during incapacity.</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Lower end where advice also includes personal life/TPD/trauma or capital protection. Higher end where policy purpose is clearly revenue protection and premium deductibility analysis is documented. Do not use high end for capital-purpose key person cover.</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s8-1 nexus may exist where cover protects business revenue or deductible operating expenses; apportion mixed protection/capital components.</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business needs analysis, policy purpose statement, premium schedule, revenue/expense nexus evidence, tax treatment note and file note excluding personal/capital cover.</w:t>
      </w:r>
    </w:p>
    <w:p>
      <w:pPr>
        <w:keepNext/>
        <w:spacing w:before="140" w:after="40"/>
      </w:pPr>
      <w:r>
        <w:rPr>
          <w:b/>
          <w:bCs/>
          <w:color w:val="0C2E3F"/>
          <w:sz w:val="21"/>
          <w:szCs w:val="21"/>
          <w:rFonts w:ascii="Nunito Sans" w:cs="Nunito Sans" w:eastAsia="Nunito Sans" w:hAnsi="Nunito Sans"/>
        </w:rPr>
        <w:t xml:space="preserve">Key Person Insurance (Deductibility Analysis)</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5–20% (default 13%)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20-60% (default 20%)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s25-5</w:t>
      </w:r>
    </w:p>
    <w:p>
      <w:pPr>
        <w:spacing w:before="30" w:after="70" w:line="266"/>
      </w:pPr>
      <w:r>
        <w:rPr>
          <w:b/>
          <w:bCs/>
          <w:i w:val="false"/>
          <w:iCs w:val="false"/>
          <w:color w:val="B45309"/>
          <w:sz w:val="19"/>
          <w:szCs w:val="19"/>
          <w:rFonts w:ascii="Nunito Sans" w:cs="Nunito Sans" w:eastAsia="Nunito Sans" w:hAnsi="Nunito Sans"/>
        </w:rPr>
        <w:t xml:space="preserve">⚠ REQUIRES MANUAL REVIEW — not exemplar-backed: </w:t>
      </w:r>
      <w:r>
        <w:rPr>
          <w:b w:val="false"/>
          <w:bCs w:val="false"/>
          <w:i w:val="false"/>
          <w:iCs w:val="false"/>
          <w:color w:val="B45309"/>
          <w:sz w:val="19"/>
          <w:szCs w:val="19"/>
          <w:rFonts w:ascii="Nunito Sans" w:cs="Nunito Sans" w:eastAsia="Nunito Sans" w:hAnsi="Nunito Sans"/>
        </w:rPr>
        <w:t xml:space="preserve">No exemplar. 20–60% house range.</w:t>
      </w:r>
    </w:p>
    <w:p>
      <w:pPr>
        <w:spacing w:before="30" w:after="70" w:line="266"/>
      </w:pPr>
      <w:r>
        <w:rPr>
          <w:b/>
          <w:bCs/>
          <w:i w:val="false"/>
          <w:iCs w:val="false"/>
          <w:color w:val="1a1a1a"/>
          <w:sz w:val="19"/>
          <w:szCs w:val="19"/>
          <w:rFonts w:ascii="Nunito Sans" w:cs="Nunito Sans" w:eastAsia="Nunito Sans" w:hAnsi="Nunito Sans"/>
        </w:rPr>
        <w:t xml:space="preserve">Default invoice wording: </w:t>
      </w:r>
      <w:r>
        <w:rPr>
          <w:b w:val="false"/>
          <w:bCs w:val="false"/>
          <w:i/>
          <w:iCs/>
          <w:color w:val="1a1a1a"/>
          <w:sz w:val="19"/>
          <w:szCs w:val="19"/>
          <w:rFonts w:ascii="Nunito Sans" w:cs="Nunito Sans" w:eastAsia="Nunito Sans" w:hAnsi="Nunito Sans"/>
        </w:rPr>
        <w:t xml:space="preserve">“Advice on satisfying tax liabilities or claiming tax entitlements (s25-5)”</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when advice analyses key person insurance purpose and deductibility, including whether the cover is revenue protection or capital protection.</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Lower end where cover protects capital value, ownership, debt repayment or succession. Higher end where advice specifically analyses revenue-purpose cover, deductible premium treatment and tax consequences. Do not assume key person premiums are deductible without purpose analysis.</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Mixed. Deductibility depends on revenue versus capital purpose and tax-affairs analysis of premium/benefit treatment.</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key person purpose analysis, revenue vs capital classification, policy schedule, premium/tax treatment notes, business financial impact assessment and file note supporting allocation.</w:t>
      </w:r>
    </w:p>
    <w:p>
      <w:pPr>
        <w:pStyle w:val="Heading2"/>
        <w:spacing w:before="180" w:after="70"/>
      </w:pPr>
      <w:r>
        <w:rPr>
          <w:b/>
          <w:bCs/>
          <w:color w:val="2B6FD6"/>
          <w:sz w:val="23"/>
          <w:szCs w:val="23"/>
          <w:rFonts w:ascii="ABC Arizona Flare" w:cs="ABC Arizona Flare" w:eastAsia="ABC Arizona Flare" w:hAnsi="ABC Arizona Flare"/>
        </w:rPr>
        <w:t xml:space="preserve">Debt, Cash Flow &amp; Centrelink</w:t>
      </w:r>
    </w:p>
    <w:p>
      <w:pPr>
        <w:keepNext/>
        <w:spacing w:before="140" w:after="40"/>
      </w:pPr>
      <w:r>
        <w:rPr>
          <w:b/>
          <w:bCs/>
          <w:color w:val="0C2E3F"/>
          <w:sz w:val="21"/>
          <w:szCs w:val="21"/>
          <w:rFonts w:ascii="Nunito Sans" w:cs="Nunito Sans" w:eastAsia="Nunito Sans" w:hAnsi="Nunito Sans"/>
        </w:rPr>
        <w:t xml:space="preserve">Paying down a Non-Deductible Debt (e.g., family home)</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5–25% (default 15%)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Non-Deductible</w:t>
      </w:r>
    </w:p>
    <w:p>
      <w:pPr>
        <w:spacing w:before="30" w:after="70" w:line="266"/>
      </w:pPr>
      <w:r>
        <w:rPr>
          <w:b/>
          <w:bCs/>
          <w:i w:val="false"/>
          <w:iCs w:val="false"/>
          <w:color w:val="1E7B4D"/>
          <w:sz w:val="19"/>
          <w:szCs w:val="19"/>
          <w:rFonts w:ascii="Nunito Sans" w:cs="Nunito Sans" w:eastAsia="Nunito Sans" w:hAnsi="Nunito Sans"/>
        </w:rPr>
        <w:t xml:space="preserve">Exemplar support: </w:t>
      </w:r>
      <w:r>
        <w:rPr>
          <w:b w:val="false"/>
          <w:bCs w:val="false"/>
          <w:i w:val="false"/>
          <w:iCs w:val="false"/>
          <w:color w:val="1E7B4D"/>
          <w:sz w:val="19"/>
          <w:szCs w:val="19"/>
          <w:rFonts w:ascii="Nunito Sans" w:cs="Nunito Sans" w:eastAsia="Nunito Sans" w:hAnsi="Nunito Sans"/>
        </w:rPr>
        <w:t xml:space="preserve">Nil claim — consistent with the exemplars’ non-deductible rows</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when advice relates to reducing private non-deductible debt such as home loans, personal loans or family home debt.</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Default 0% because the advice is private/domestic debt management. Do not allocate deductibility for household debt reduction, refinancing for personal purposes or lifestyle cashflow improvement.</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Private/domestic expenditure and debt management; no sufficient nexus to assessable income or tax affairs.</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debt schedule and file note confirming private purpose. If any separate investment debt/tax advice exists, record it as a separate strategy line.</w:t>
      </w:r>
    </w:p>
    <w:p>
      <w:pPr>
        <w:keepNext/>
        <w:spacing w:before="140" w:after="40"/>
      </w:pPr>
      <w:r>
        <w:rPr>
          <w:b/>
          <w:bCs/>
          <w:color w:val="0C2E3F"/>
          <w:sz w:val="21"/>
          <w:szCs w:val="21"/>
          <w:rFonts w:ascii="Nunito Sans" w:cs="Nunito Sans" w:eastAsia="Nunito Sans" w:hAnsi="Nunito Sans"/>
        </w:rPr>
        <w:t xml:space="preserve">Bank Account &amp; Offset Structuring</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5–15% (default 10%)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20% (default 20%)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s25-5</w:t>
      </w:r>
    </w:p>
    <w:p>
      <w:pPr>
        <w:spacing w:before="30" w:after="70" w:line="266"/>
      </w:pPr>
      <w:r>
        <w:rPr>
          <w:b/>
          <w:bCs/>
          <w:i w:val="false"/>
          <w:iCs w:val="false"/>
          <w:color w:val="1E7B4D"/>
          <w:sz w:val="19"/>
          <w:szCs w:val="19"/>
          <w:rFonts w:ascii="Nunito Sans" w:cs="Nunito Sans" w:eastAsia="Nunito Sans" w:hAnsi="Nunito Sans"/>
        </w:rPr>
        <w:t xml:space="preserve">Exemplar support: </w:t>
      </w:r>
      <w:r>
        <w:rPr>
          <w:b w:val="false"/>
          <w:bCs w:val="false"/>
          <w:i w:val="false"/>
          <w:iCs w:val="false"/>
          <w:color w:val="1E7B4D"/>
          <w:sz w:val="19"/>
          <w:szCs w:val="19"/>
          <w:rFonts w:ascii="Nunito Sans" w:cs="Nunito Sans" w:eastAsia="Nunito Sans" w:hAnsi="Nunito Sans"/>
        </w:rPr>
        <w:t xml:space="preserve">Exemplar invoice #1 (20%, weighted 5%) — rate exemplified; wording deliberately corrected to "tax implications" (see review list)</w:t>
      </w:r>
    </w:p>
    <w:p>
      <w:pPr>
        <w:spacing w:before="30" w:after="70" w:line="266"/>
      </w:pPr>
      <w:r>
        <w:rPr>
          <w:b/>
          <w:bCs/>
          <w:i w:val="false"/>
          <w:iCs w:val="false"/>
          <w:color w:val="1a1a1a"/>
          <w:sz w:val="19"/>
          <w:szCs w:val="19"/>
          <w:rFonts w:ascii="Nunito Sans" w:cs="Nunito Sans" w:eastAsia="Nunito Sans" w:hAnsi="Nunito Sans"/>
        </w:rPr>
        <w:t xml:space="preserve">Default invoice wording: </w:t>
      </w:r>
      <w:r>
        <w:rPr>
          <w:b w:val="false"/>
          <w:bCs w:val="false"/>
          <w:i/>
          <w:iCs/>
          <w:color w:val="1a1a1a"/>
          <w:sz w:val="19"/>
          <w:szCs w:val="19"/>
          <w:rFonts w:ascii="Nunito Sans" w:cs="Nunito Sans" w:eastAsia="Nunito Sans" w:hAnsi="Nunito Sans"/>
        </w:rPr>
        <w:t xml:space="preserve">“Advice on the tax implications of structuring bank and offset accounts (s25-5)”</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when advice structures bank accounts and mortgage offset accounts — directing savings and salary through an offset and considering the effect on the household’s overall tax position.</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Exemplar treatment is 20% under s25-5 (firm exemplar invoice, weighted 5%). Note the exemplar’s own wording (“reduces assessable income”) overstates the mechanics — an offset against a home loan reduces non-deductible interest, not assessable income — so the invoice wording refers to the tax implications of the structuring instead. The remaining 80% is private cashflow/banking structure. Do not claim more without documented tax analysis.</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Advising on the tax implications of bank and offset account structuring — a 20% s25-5 component per the firm exemplar (rate retained, wording corrected).</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the account structure diagram, offset interest-saving calculation, any taxable-income impact notes and the advice document.</w:t>
      </w:r>
    </w:p>
    <w:p>
      <w:pPr>
        <w:keepNext/>
        <w:spacing w:before="140" w:after="40"/>
      </w:pPr>
      <w:r>
        <w:rPr>
          <w:b/>
          <w:bCs/>
          <w:color w:val="0C2E3F"/>
          <w:sz w:val="21"/>
          <w:szCs w:val="21"/>
          <w:rFonts w:ascii="Nunito Sans" w:cs="Nunito Sans" w:eastAsia="Nunito Sans" w:hAnsi="Nunito Sans"/>
        </w:rPr>
        <w:t xml:space="preserve">Debt Recycling Strategy</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20–70% (default 45%)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70-100% (default 70%)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s8-1</w:t>
      </w:r>
    </w:p>
    <w:p>
      <w:pPr>
        <w:spacing w:before="30" w:after="70" w:line="266"/>
      </w:pPr>
      <w:r>
        <w:rPr>
          <w:b/>
          <w:bCs/>
          <w:i w:val="false"/>
          <w:iCs w:val="false"/>
          <w:color w:val="B45309"/>
          <w:sz w:val="19"/>
          <w:szCs w:val="19"/>
          <w:rFonts w:ascii="Nunito Sans" w:cs="Nunito Sans" w:eastAsia="Nunito Sans" w:hAnsi="Nunito Sans"/>
        </w:rPr>
        <w:t xml:space="preserve">⚠ REQUIRES MANUAL REVIEW — not exemplar-backed: </w:t>
      </w:r>
      <w:r>
        <w:rPr>
          <w:b w:val="false"/>
          <w:bCs w:val="false"/>
          <w:i w:val="false"/>
          <w:iCs w:val="false"/>
          <w:color w:val="B45309"/>
          <w:sz w:val="19"/>
          <w:szCs w:val="19"/>
          <w:rFonts w:ascii="Nunito Sans" w:cs="Nunito Sans" w:eastAsia="Nunito Sans" w:hAnsi="Nunito Sans"/>
        </w:rPr>
        <w:t xml:space="preserve">No exemplar — 70–100% is a HOUSE DECISION (debt structuring / converting private debt to deductible investment debt).</w:t>
      </w:r>
    </w:p>
    <w:p>
      <w:pPr>
        <w:spacing w:before="30" w:after="70" w:line="266"/>
      </w:pPr>
      <w:r>
        <w:rPr>
          <w:b/>
          <w:bCs/>
          <w:i w:val="false"/>
          <w:iCs w:val="false"/>
          <w:color w:val="1a1a1a"/>
          <w:sz w:val="19"/>
          <w:szCs w:val="19"/>
          <w:rFonts w:ascii="Nunito Sans" w:cs="Nunito Sans" w:eastAsia="Nunito Sans" w:hAnsi="Nunito Sans"/>
        </w:rPr>
        <w:t xml:space="preserve">Default invoice wording: </w:t>
      </w:r>
      <w:r>
        <w:rPr>
          <w:b w:val="false"/>
          <w:bCs w:val="false"/>
          <w:i/>
          <w:iCs/>
          <w:color w:val="1a1a1a"/>
          <w:sz w:val="19"/>
          <w:szCs w:val="19"/>
          <w:rFonts w:ascii="Nunito Sans" w:cs="Nunito Sans" w:eastAsia="Nunito Sans" w:hAnsi="Nunito Sans"/>
        </w:rPr>
        <w:t xml:space="preserve">“Advice on managing a deductible investment loan (Gearing) (s8-1)”</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for debt structuring advice converting private debt into deductible investment debt — refinancing, loan splitting, redraw/borrowing against equity to invest (property or share portfolios), borrowing purpose tracing and interest deductibility. (Bank account / mortgage offset structuring is a separate strategy.)</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House treatment is 70-100% — the advice structures deductible investment debt and its interest deductibility. Use the lower end where the work is substantially home-loan management; 100 only where the engagement is wholly investment-debt structuring with documented tracing.</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Mixed private debt restructuring and tax/investment borrowing advice. Deductible component depends on clear s8-1 nexus and tax-affairs analysis.</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debt recycling diagram, loan purpose/tracing worksheet, investment acquisition details, interest deductibility analysis, cashflow model and file note separating private home loan advice.</w:t>
      </w:r>
    </w:p>
    <w:p>
      <w:pPr>
        <w:keepNext/>
        <w:spacing w:before="140" w:after="40"/>
      </w:pPr>
      <w:r>
        <w:rPr>
          <w:b/>
          <w:bCs/>
          <w:color w:val="0C2E3F"/>
          <w:sz w:val="21"/>
          <w:szCs w:val="21"/>
          <w:rFonts w:ascii="Nunito Sans" w:cs="Nunito Sans" w:eastAsia="Nunito Sans" w:hAnsi="Nunito Sans"/>
        </w:rPr>
        <w:t xml:space="preserve">General Budgeting and Cash Flow Management</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5–20% (default 13%)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Non-Deductible</w:t>
      </w:r>
    </w:p>
    <w:p>
      <w:pPr>
        <w:spacing w:before="30" w:after="70" w:line="266"/>
      </w:pPr>
      <w:r>
        <w:rPr>
          <w:b/>
          <w:bCs/>
          <w:i w:val="false"/>
          <w:iCs w:val="false"/>
          <w:color w:val="1E7B4D"/>
          <w:sz w:val="19"/>
          <w:szCs w:val="19"/>
          <w:rFonts w:ascii="Nunito Sans" w:cs="Nunito Sans" w:eastAsia="Nunito Sans" w:hAnsi="Nunito Sans"/>
        </w:rPr>
        <w:t xml:space="preserve">Exemplar support: </w:t>
      </w:r>
      <w:r>
        <w:rPr>
          <w:b w:val="false"/>
          <w:bCs w:val="false"/>
          <w:i w:val="false"/>
          <w:iCs w:val="false"/>
          <w:color w:val="1E7B4D"/>
          <w:sz w:val="19"/>
          <w:szCs w:val="19"/>
          <w:rFonts w:ascii="Nunito Sans" w:cs="Nunito Sans" w:eastAsia="Nunito Sans" w:hAnsi="Nunito Sans"/>
        </w:rPr>
        <w:t xml:space="preserve">Exemplar invoice #1 and example 5.3.5 (Nil / 0%)</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when advice relates to household budgeting, spending plans, savings targets, cashflow coaching or personal financial management.</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Default 0% because advice is private/domestic. Do not include budgeting within retirement, debt or investment tax allocations unless a separate tax/investment component is clearly identified.</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Private/domestic financial management, not connected to assessable income production or tax affairs.</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budgeting worksheet and file note confirming private cashflow character. Separately document any tax/investment advice as another strategy.</w:t>
      </w:r>
    </w:p>
    <w:p>
      <w:pPr>
        <w:keepNext/>
        <w:spacing w:before="140" w:after="40"/>
      </w:pPr>
      <w:r>
        <w:rPr>
          <w:b/>
          <w:bCs/>
          <w:color w:val="0C2E3F"/>
          <w:sz w:val="21"/>
          <w:szCs w:val="21"/>
          <w:rFonts w:ascii="Nunito Sans" w:cs="Nunito Sans" w:eastAsia="Nunito Sans" w:hAnsi="Nunito Sans"/>
        </w:rPr>
        <w:t xml:space="preserve">Maximise Centrelink/DVA Entitlements (Tax Implications)</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5–20% (default 13%)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0-80% (default 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s25-5 &amp; s8-1</w:t>
      </w:r>
    </w:p>
    <w:p>
      <w:pPr>
        <w:spacing w:before="30" w:after="70" w:line="266"/>
      </w:pPr>
      <w:r>
        <w:rPr>
          <w:b/>
          <w:bCs/>
          <w:i w:val="false"/>
          <w:iCs w:val="false"/>
          <w:color w:val="1E7B4D"/>
          <w:sz w:val="19"/>
          <w:szCs w:val="19"/>
          <w:rFonts w:ascii="Nunito Sans" w:cs="Nunito Sans" w:eastAsia="Nunito Sans" w:hAnsi="Nunito Sans"/>
        </w:rPr>
        <w:t xml:space="preserve">Exemplar support: </w:t>
      </w:r>
      <w:r>
        <w:rPr>
          <w:b w:val="false"/>
          <w:bCs w:val="false"/>
          <w:i w:val="false"/>
          <w:iCs w:val="false"/>
          <w:color w:val="1E7B4D"/>
          <w:sz w:val="19"/>
          <w:szCs w:val="19"/>
          <w:rFonts w:ascii="Nunito Sans" w:cs="Nunito Sans" w:eastAsia="Nunito Sans" w:hAnsi="Nunito Sans"/>
        </w:rPr>
        <w:t xml:space="preserve">Example 5.3.5 (80%, s25-5 &amp; s8-1)</w:t>
      </w:r>
    </w:p>
    <w:p>
      <w:pPr>
        <w:spacing w:before="30" w:after="70" w:line="266"/>
      </w:pPr>
      <w:r>
        <w:rPr>
          <w:b/>
          <w:bCs/>
          <w:i w:val="false"/>
          <w:iCs w:val="false"/>
          <w:color w:val="1a1a1a"/>
          <w:sz w:val="19"/>
          <w:szCs w:val="19"/>
          <w:rFonts w:ascii="Nunito Sans" w:cs="Nunito Sans" w:eastAsia="Nunito Sans" w:hAnsi="Nunito Sans"/>
        </w:rPr>
        <w:t xml:space="preserve">Default invoice wording: </w:t>
      </w:r>
      <w:r>
        <w:rPr>
          <w:b w:val="false"/>
          <w:bCs w:val="false"/>
          <w:i/>
          <w:iCs/>
          <w:color w:val="1a1a1a"/>
          <w:sz w:val="19"/>
          <w:szCs w:val="19"/>
          <w:rFonts w:ascii="Nunito Sans" w:cs="Nunito Sans" w:eastAsia="Nunito Sans" w:hAnsi="Nunito Sans"/>
        </w:rPr>
        <w:t xml:space="preserve">“Advice on structuring finances to maximise social security (Centrelink/DVA) and associated tax outcomes (s25-5)”</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when advice analyses Centrelink/DVA entitlement strategy, assets/income test outcomes, pension income treatment and related tax interactions.</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Example 5.3.5 applies 80% under both s25-5 and s8-1 — “structure affairs to maximise Centrelink and DVA entitlement and advise on the tax implications”. Use the higher end where the entitlement strategy includes documented tax-implications advice; 0 where the work is purely social security or aged care planning.</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Structuring affairs to maximise Centrelink/DVA entitlements attracts deductibility where the strategy includes advice on the tax implications — both heads per example 5.3.5.</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Centrelink/DVA entitlement calculations, assets/income test analysis, pension income notes, tax interaction summary and file note separating social security advice from tax-affairs work.</w:t>
      </w:r>
    </w:p>
    <w:p>
      <w:pPr>
        <w:pStyle w:val="Heading2"/>
        <w:spacing w:before="180" w:after="70"/>
      </w:pPr>
      <w:r>
        <w:rPr>
          <w:b/>
          <w:bCs/>
          <w:color w:val="2B6FD6"/>
          <w:sz w:val="23"/>
          <w:szCs w:val="23"/>
          <w:rFonts w:ascii="ABC Arizona Flare" w:cs="ABC Arizona Flare" w:eastAsia="ABC Arizona Flare" w:hAnsi="ABC Arizona Flare"/>
        </w:rPr>
        <w:t xml:space="preserve">SMSF</w:t>
      </w:r>
    </w:p>
    <w:p>
      <w:pPr>
        <w:keepNext/>
        <w:spacing w:before="140" w:after="40"/>
      </w:pPr>
      <w:r>
        <w:rPr>
          <w:b/>
          <w:bCs/>
          <w:color w:val="0C2E3F"/>
          <w:sz w:val="21"/>
          <w:szCs w:val="21"/>
          <w:rFonts w:ascii="Nunito Sans" w:cs="Nunito Sans" w:eastAsia="Nunito Sans" w:hAnsi="Nunito Sans"/>
        </w:rPr>
        <w:t xml:space="preserve">SMSF Establishment and Structuring Advice</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10–30% (default 20%)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0-80% (default 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s25-5</w:t>
      </w:r>
    </w:p>
    <w:p>
      <w:pPr>
        <w:spacing w:before="30" w:after="70" w:line="266"/>
      </w:pPr>
      <w:r>
        <w:rPr>
          <w:b/>
          <w:bCs/>
          <w:i w:val="false"/>
          <w:iCs w:val="false"/>
          <w:color w:val="1E7B4D"/>
          <w:sz w:val="19"/>
          <w:szCs w:val="19"/>
          <w:rFonts w:ascii="Nunito Sans" w:cs="Nunito Sans" w:eastAsia="Nunito Sans" w:hAnsi="Nunito Sans"/>
        </w:rPr>
        <w:t xml:space="preserve">Exemplar support: </w:t>
      </w:r>
      <w:r>
        <w:rPr>
          <w:b w:val="false"/>
          <w:bCs w:val="false"/>
          <w:i w:val="false"/>
          <w:iCs w:val="false"/>
          <w:color w:val="1E7B4D"/>
          <w:sz w:val="19"/>
          <w:szCs w:val="19"/>
          <w:rFonts w:ascii="Nunito Sans" w:cs="Nunito Sans" w:eastAsia="Nunito Sans" w:hAnsi="Nunito Sans"/>
        </w:rPr>
        <w:t xml:space="preserve">Strategy-basis exemplar (80% — rollover to new SMSF incl. tax implications)</w:t>
      </w:r>
    </w:p>
    <w:p>
      <w:pPr>
        <w:spacing w:before="30" w:after="70" w:line="266"/>
      </w:pPr>
      <w:r>
        <w:rPr>
          <w:b/>
          <w:bCs/>
          <w:i w:val="false"/>
          <w:iCs w:val="false"/>
          <w:color w:val="1a1a1a"/>
          <w:sz w:val="19"/>
          <w:szCs w:val="19"/>
          <w:rFonts w:ascii="Nunito Sans" w:cs="Nunito Sans" w:eastAsia="Nunito Sans" w:hAnsi="Nunito Sans"/>
        </w:rPr>
        <w:t xml:space="preserve">Default invoice wording: </w:t>
      </w:r>
      <w:r>
        <w:rPr>
          <w:b w:val="false"/>
          <w:bCs w:val="false"/>
          <w:i/>
          <w:iCs/>
          <w:color w:val="1a1a1a"/>
          <w:sz w:val="19"/>
          <w:szCs w:val="19"/>
          <w:rFonts w:ascii="Nunito Sans" w:cs="Nunito Sans" w:eastAsia="Nunito Sans" w:hAnsi="Nunito Sans"/>
        </w:rPr>
        <w:t xml:space="preserve">“Setting up an SMSF including providing advice on the tax implications (s25-5)”</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when advice relates to establishing a new SMSF, trustee structure, deed setup, fund structure, rollover into SMSF or initial governance framework.</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The strategy-basis exemplar applies 80% s25-5 to “rollover super to new SMSF — setting up the SMSF including providing advice on the tax implications”. Use the higher end where establishment advice includes documented tax-implications analysis; keep 0 for pure deed/structure implementation.</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Setting up an SMSF including providing advice on the tax implications is claimed under s25-5 in the exemplar; bare establishment and implementation remain capital.</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SMSF establishment scope, trustee/deed setup documents, implementation notes and separately documented tax analysis if any component is claimed.</w:t>
      </w:r>
    </w:p>
    <w:p>
      <w:pPr>
        <w:keepNext/>
        <w:spacing w:before="140" w:after="40"/>
      </w:pPr>
      <w:r>
        <w:rPr>
          <w:b/>
          <w:bCs/>
          <w:color w:val="0C2E3F"/>
          <w:sz w:val="21"/>
          <w:szCs w:val="21"/>
          <w:rFonts w:ascii="Nunito Sans" w:cs="Nunito Sans" w:eastAsia="Nunito Sans" w:hAnsi="Nunito Sans"/>
        </w:rPr>
        <w:t xml:space="preserve">SMSF Contribution Strategy Advice</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5–20% (default 13%)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100% (default 100%)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s25-5</w:t>
      </w:r>
    </w:p>
    <w:p>
      <w:pPr>
        <w:spacing w:before="30" w:after="70" w:line="266"/>
      </w:pPr>
      <w:r>
        <w:rPr>
          <w:b/>
          <w:bCs/>
          <w:i w:val="false"/>
          <w:iCs w:val="false"/>
          <w:color w:val="B45309"/>
          <w:sz w:val="19"/>
          <w:szCs w:val="19"/>
          <w:rFonts w:ascii="Nunito Sans" w:cs="Nunito Sans" w:eastAsia="Nunito Sans" w:hAnsi="Nunito Sans"/>
        </w:rPr>
        <w:t xml:space="preserve">⚠ REQUIRES MANUAL REVIEW — not exemplar-backed: </w:t>
      </w:r>
      <w:r>
        <w:rPr>
          <w:b w:val="false"/>
          <w:bCs w:val="false"/>
          <w:i w:val="false"/>
          <w:iCs w:val="false"/>
          <w:color w:val="B45309"/>
          <w:sz w:val="19"/>
          <w:szCs w:val="19"/>
          <w:rFonts w:ascii="Nunito Sans" w:cs="Nunito Sans" w:eastAsia="Nunito Sans" w:hAnsi="Nunito Sans"/>
        </w:rPr>
        <w:t xml:space="preserve">No SMSF exemplar — 100% set by ANALOGY to the exemplified CC/NCC contribution treatment.</w:t>
      </w:r>
    </w:p>
    <w:p>
      <w:pPr>
        <w:spacing w:before="30" w:after="70" w:line="266"/>
      </w:pPr>
      <w:r>
        <w:rPr>
          <w:b/>
          <w:bCs/>
          <w:i w:val="false"/>
          <w:iCs w:val="false"/>
          <w:color w:val="1a1a1a"/>
          <w:sz w:val="19"/>
          <w:szCs w:val="19"/>
          <w:rFonts w:ascii="Nunito Sans" w:cs="Nunito Sans" w:eastAsia="Nunito Sans" w:hAnsi="Nunito Sans"/>
        </w:rPr>
        <w:t xml:space="preserve">Default invoice wording: </w:t>
      </w:r>
      <w:r>
        <w:rPr>
          <w:b w:val="false"/>
          <w:bCs w:val="false"/>
          <w:i/>
          <w:iCs/>
          <w:color w:val="1a1a1a"/>
          <w:sz w:val="19"/>
          <w:szCs w:val="19"/>
          <w:rFonts w:ascii="Nunito Sans" w:cs="Nunito Sans" w:eastAsia="Nunito Sans" w:hAnsi="Nunito Sans"/>
        </w:rPr>
        <w:t xml:space="preserve">“Advice on making tax-deductible personal superannuation contributions (s25-5)”</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when advice analyses SMSF member contribution strategy, concessional/non-concessional caps, deductibility, reserves if relevant, Division 293 and contribution tax outcomes.</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Aligned with the contribution exemplars — concessional and non-concessional contribution advice is treated as 100% s25-5 (applying taxation laws: caps, deductibility, Division 293). Reduce where the work is mainly member balance or accumulation management.</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Mixed super accumulation and tax-affairs advice. Deductible component relates to contribution tax analysis and deductibility mechanics.</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member contribution schedule, cap calculations, Division 293/deductibility notes, tax outcome modelling and file note separating accumulation objectives from tax-affairs analysis.</w:t>
      </w:r>
    </w:p>
    <w:p>
      <w:pPr>
        <w:keepNext/>
        <w:spacing w:before="140" w:after="40"/>
      </w:pPr>
      <w:r>
        <w:rPr>
          <w:b/>
          <w:bCs/>
          <w:color w:val="0C2E3F"/>
          <w:sz w:val="21"/>
          <w:szCs w:val="21"/>
          <w:rFonts w:ascii="Nunito Sans" w:cs="Nunito Sans" w:eastAsia="Nunito Sans" w:hAnsi="Nunito Sans"/>
        </w:rPr>
        <w:t xml:space="preserve">SMSF Pension Strategy Advice (inc. Segregation)</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10–30% (default 20%)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80% (default 80%)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s25-5</w:t>
      </w:r>
    </w:p>
    <w:p>
      <w:pPr>
        <w:spacing w:before="30" w:after="70" w:line="266"/>
      </w:pPr>
      <w:r>
        <w:rPr>
          <w:b/>
          <w:bCs/>
          <w:i w:val="false"/>
          <w:iCs w:val="false"/>
          <w:color w:val="1E7B4D"/>
          <w:sz w:val="19"/>
          <w:szCs w:val="19"/>
          <w:rFonts w:ascii="Nunito Sans" w:cs="Nunito Sans" w:eastAsia="Nunito Sans" w:hAnsi="Nunito Sans"/>
        </w:rPr>
        <w:t xml:space="preserve">Exemplar support: </w:t>
      </w:r>
      <w:r>
        <w:rPr>
          <w:b w:val="false"/>
          <w:bCs w:val="false"/>
          <w:i w:val="false"/>
          <w:iCs w:val="false"/>
          <w:color w:val="1E7B4D"/>
          <w:sz w:val="19"/>
          <w:szCs w:val="19"/>
          <w:rFonts w:ascii="Nunito Sans" w:cs="Nunito Sans" w:eastAsia="Nunito Sans" w:hAnsi="Nunito Sans"/>
        </w:rPr>
        <w:t xml:space="preserve">Example 5.3.5 (80%)</w:t>
      </w:r>
    </w:p>
    <w:p>
      <w:pPr>
        <w:spacing w:before="30" w:after="70" w:line="266"/>
      </w:pPr>
      <w:r>
        <w:rPr>
          <w:b/>
          <w:bCs/>
          <w:i w:val="false"/>
          <w:iCs w:val="false"/>
          <w:color w:val="1a1a1a"/>
          <w:sz w:val="19"/>
          <w:szCs w:val="19"/>
          <w:rFonts w:ascii="Nunito Sans" w:cs="Nunito Sans" w:eastAsia="Nunito Sans" w:hAnsi="Nunito Sans"/>
        </w:rPr>
        <w:t xml:space="preserve">Default invoice wording: </w:t>
      </w:r>
      <w:r>
        <w:rPr>
          <w:b w:val="false"/>
          <w:bCs w:val="false"/>
          <w:i/>
          <w:iCs/>
          <w:color w:val="1a1a1a"/>
          <w:sz w:val="19"/>
          <w:szCs w:val="19"/>
          <w:rFonts w:ascii="Nunito Sans" w:cs="Nunito Sans" w:eastAsia="Nunito Sans" w:hAnsi="Nunito Sans"/>
        </w:rPr>
        <w:t xml:space="preserve">“Advice on the tax treatment of superannuation pension income (s25-5)”</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when advice analyses SMSF pension strategy, ECPI, segregation, actuarial certificate requirements, transfer balance cap and pension tax treatment.</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Example 5.3.5 applies 80% s25-5 to reviewing an existing SMSF account-based pension portfolio and drawdown levels — advice on the tax implications of the income from the investments and any disposals. Use 80 as the standard; reduce where the work is mainly retirement income adequacy planning.</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Mixed pension/retirement and tax-affairs advice. Tax-affairs component may be significant where ECPI/segregation and pension tax treatment are analysed.</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ECPI/segregation analysis, actuarial certificate notes, TBC calculations, pension documents, tax modelling and file note allocating retirement versus tax work.</w:t>
      </w:r>
    </w:p>
    <w:p>
      <w:pPr>
        <w:keepNext/>
        <w:spacing w:before="140" w:after="40"/>
      </w:pPr>
      <w:r>
        <w:rPr>
          <w:b/>
          <w:bCs/>
          <w:color w:val="0C2E3F"/>
          <w:sz w:val="21"/>
          <w:szCs w:val="21"/>
          <w:rFonts w:ascii="Nunito Sans" w:cs="Nunito Sans" w:eastAsia="Nunito Sans" w:hAnsi="Nunito Sans"/>
        </w:rPr>
        <w:t xml:space="preserve">SMSF Investment Strategy (Compliance &amp; Review)</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10–40% (default 25%)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0-70% (default 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s25-5</w:t>
      </w:r>
    </w:p>
    <w:p>
      <w:pPr>
        <w:spacing w:before="30" w:after="70" w:line="266"/>
      </w:pPr>
      <w:r>
        <w:rPr>
          <w:b/>
          <w:bCs/>
          <w:i w:val="false"/>
          <w:iCs w:val="false"/>
          <w:color w:val="B45309"/>
          <w:sz w:val="19"/>
          <w:szCs w:val="19"/>
          <w:rFonts w:ascii="Nunito Sans" w:cs="Nunito Sans" w:eastAsia="Nunito Sans" w:hAnsi="Nunito Sans"/>
        </w:rPr>
        <w:t xml:space="preserve">⚠ REQUIRES MANUAL REVIEW — not exemplar-backed: </w:t>
      </w:r>
      <w:r>
        <w:rPr>
          <w:b w:val="false"/>
          <w:bCs w:val="false"/>
          <w:i w:val="false"/>
          <w:iCs w:val="false"/>
          <w:color w:val="B45309"/>
          <w:sz w:val="19"/>
          <w:szCs w:val="19"/>
          <w:rFonts w:ascii="Nunito Sans" w:cs="Nunito Sans" w:eastAsia="Nunito Sans" w:hAnsi="Nunito Sans"/>
        </w:rPr>
        <w:t xml:space="preserve">No exemplar. 0–70% (floor aligned to example 5.3.4’s 0% pole; the 70% top is unexemplified).</w:t>
      </w:r>
    </w:p>
    <w:p>
      <w:pPr>
        <w:spacing w:before="30" w:after="70" w:line="266"/>
      </w:pPr>
      <w:r>
        <w:rPr>
          <w:b/>
          <w:bCs/>
          <w:i w:val="false"/>
          <w:iCs w:val="false"/>
          <w:color w:val="1a1a1a"/>
          <w:sz w:val="19"/>
          <w:szCs w:val="19"/>
          <w:rFonts w:ascii="Nunito Sans" w:cs="Nunito Sans" w:eastAsia="Nunito Sans" w:hAnsi="Nunito Sans"/>
        </w:rPr>
        <w:t xml:space="preserve">Default invoice wording: </w:t>
      </w:r>
      <w:r>
        <w:rPr>
          <w:b w:val="false"/>
          <w:bCs w:val="false"/>
          <w:i/>
          <w:iCs/>
          <w:color w:val="1a1a1a"/>
          <w:sz w:val="19"/>
          <w:szCs w:val="19"/>
          <w:rFonts w:ascii="Nunito Sans" w:cs="Nunito Sans" w:eastAsia="Nunito Sans" w:hAnsi="Nunito Sans"/>
        </w:rPr>
        <w:t xml:space="preserve">“Advice on the operation of a Commonwealth law relating to taxation (s25-5)”</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when advice reviews the SMSF investment strategy, compliance with trustee obligations, asset allocation, liquidity, diversification and existing fund investments.</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No direct exemplar. Floor is 0 in line with example 5.3.4 (a portfolio/compliance review on its own attracts nothing); use the higher end only where the recurring work is pension-phase tax management (ECPI, drawdown — cf. example 5.3.5’s 80% for the SMSF pension review) with documented tax analysis.</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Mixed compliance, retirement and investment management advice. Deductible component depends on recurring management/tax nexus rather than trustee compliance alone.</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SMSF investment strategy review, existing asset schedule, income/liquidity analysis, trustee minutes, compliance notes and file allocation between compliance and investment/tax work.</w:t>
      </w:r>
    </w:p>
    <w:p>
      <w:pPr>
        <w:keepNext/>
        <w:spacing w:before="140" w:after="40"/>
      </w:pPr>
      <w:r>
        <w:rPr>
          <w:b/>
          <w:bCs/>
          <w:color w:val="0C2E3F"/>
          <w:sz w:val="21"/>
          <w:szCs w:val="21"/>
          <w:rFonts w:ascii="Nunito Sans" w:cs="Nunito Sans" w:eastAsia="Nunito Sans" w:hAnsi="Nunito Sans"/>
        </w:rPr>
        <w:t xml:space="preserve">SMSF Borrowing / Limited Recourse Borrowing Arrangement (LRBA)</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10–30% (default 20%)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Non-Deductible</w:t>
      </w:r>
    </w:p>
    <w:p>
      <w:pPr>
        <w:spacing w:before="30" w:after="70" w:line="266"/>
      </w:pPr>
      <w:r>
        <w:rPr>
          <w:b/>
          <w:bCs/>
          <w:i w:val="false"/>
          <w:iCs w:val="false"/>
          <w:color w:val="B45309"/>
          <w:sz w:val="19"/>
          <w:szCs w:val="19"/>
          <w:rFonts w:ascii="Nunito Sans" w:cs="Nunito Sans" w:eastAsia="Nunito Sans" w:hAnsi="Nunito Sans"/>
        </w:rPr>
        <w:t xml:space="preserve">⚠ REQUIRES MANUAL REVIEW — not exemplar-backed: </w:t>
      </w:r>
      <w:r>
        <w:rPr>
          <w:b w:val="false"/>
          <w:bCs w:val="false"/>
          <w:i w:val="false"/>
          <w:iCs w:val="false"/>
          <w:color w:val="B45309"/>
          <w:sz w:val="19"/>
          <w:szCs w:val="19"/>
          <w:rFonts w:ascii="Nunito Sans" w:cs="Nunito Sans" w:eastAsia="Nunito Sans" w:hAnsi="Nunito Sans"/>
        </w:rPr>
        <w:t xml:space="preserve">No exemplar. 0–20% house range.</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when advice relates to SMSF borrowing, LRBA structure, asset acquisition, loan arrangement, bare trust structure and related tax consequences.</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Generally lower end because LRBA advice is structural/capital and acquisition-related. Higher component only where interest deductibility, borrowing tax treatment and SMSF tax consequences are separately analysed. Do not include property acquisition or borrowing setup as deductible.</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Mostly capital/structural advice with limited tax-affairs component. Acquisition and borrowing setup are not recurrent income management.</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LRBA structure notes, loan/bare trust documents, asset acquisition details, tax treatment analysis and file note separating structural setup from tax advice.</w:t>
      </w:r>
    </w:p>
    <w:p>
      <w:pPr>
        <w:keepNext/>
        <w:spacing w:before="140" w:after="40"/>
      </w:pPr>
      <w:r>
        <w:rPr>
          <w:b/>
          <w:bCs/>
          <w:color w:val="0C2E3F"/>
          <w:sz w:val="21"/>
          <w:szCs w:val="21"/>
          <w:rFonts w:ascii="Nunito Sans" w:cs="Nunito Sans" w:eastAsia="Nunito Sans" w:hAnsi="Nunito Sans"/>
        </w:rPr>
        <w:t xml:space="preserve">Advice on Winding Up an SMSF</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5–20% (default 13%)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0-20% (default 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s25-5</w:t>
      </w:r>
    </w:p>
    <w:p>
      <w:pPr>
        <w:spacing w:before="30" w:after="70" w:line="266"/>
      </w:pPr>
      <w:r>
        <w:rPr>
          <w:b/>
          <w:bCs/>
          <w:i w:val="false"/>
          <w:iCs w:val="false"/>
          <w:color w:val="B45309"/>
          <w:sz w:val="19"/>
          <w:szCs w:val="19"/>
          <w:rFonts w:ascii="Nunito Sans" w:cs="Nunito Sans" w:eastAsia="Nunito Sans" w:hAnsi="Nunito Sans"/>
        </w:rPr>
        <w:t xml:space="preserve">⚠ REQUIRES MANUAL REVIEW — not exemplar-backed: </w:t>
      </w:r>
      <w:r>
        <w:rPr>
          <w:b w:val="false"/>
          <w:bCs w:val="false"/>
          <w:i w:val="false"/>
          <w:iCs w:val="false"/>
          <w:color w:val="B45309"/>
          <w:sz w:val="19"/>
          <w:szCs w:val="19"/>
          <w:rFonts w:ascii="Nunito Sans" w:cs="Nunito Sans" w:eastAsia="Nunito Sans" w:hAnsi="Nunito Sans"/>
        </w:rPr>
        <w:t xml:space="preserve">No exemplar. 0–20% house range.</w:t>
      </w:r>
    </w:p>
    <w:p>
      <w:pPr>
        <w:spacing w:before="30" w:after="70" w:line="266"/>
      </w:pPr>
      <w:r>
        <w:rPr>
          <w:b/>
          <w:bCs/>
          <w:i w:val="false"/>
          <w:iCs w:val="false"/>
          <w:color w:val="1a1a1a"/>
          <w:sz w:val="19"/>
          <w:szCs w:val="19"/>
          <w:rFonts w:ascii="Nunito Sans" w:cs="Nunito Sans" w:eastAsia="Nunito Sans" w:hAnsi="Nunito Sans"/>
        </w:rPr>
        <w:t xml:space="preserve">Default invoice wording: </w:t>
      </w:r>
      <w:r>
        <w:rPr>
          <w:b w:val="false"/>
          <w:bCs w:val="false"/>
          <w:i/>
          <w:iCs/>
          <w:color w:val="1a1a1a"/>
          <w:sz w:val="19"/>
          <w:szCs w:val="19"/>
          <w:rFonts w:ascii="Nunito Sans" w:cs="Nunito Sans" w:eastAsia="Nunito Sans" w:hAnsi="Nunito Sans"/>
        </w:rPr>
        <w:t xml:space="preserve">“Advice on the tax implications of winding up an SMSF (s25-5)”</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when advice relates to closing an SMSF, rolling benefits out, disposing/transferring assets, final tax/compliance obligations and member benefit treatment.</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Lower end where wind-up is administrative, structural or estate/retirement driven. Higher end where final tax return, CGT, ECPI, benefit payment tax and compliance tax consequences are specifically analysed. Do not treat administrative closure as deductible.</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Mixed structural/admin and tax-affairs advice. Deductible component limited to identifiable tax affairs management during wind-up.</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wind-up checklist, asset disposal/transfer analysis, final tax/CGT notes, member benefit calculations, rollover documents and file note allocating admin versus tax work.</w:t>
      </w:r>
    </w:p>
    <w:p>
      <w:pPr>
        <w:pStyle w:val="Heading2"/>
        <w:spacing w:before="180" w:after="70"/>
      </w:pPr>
      <w:r>
        <w:rPr>
          <w:b/>
          <w:bCs/>
          <w:color w:val="2B6FD6"/>
          <w:sz w:val="23"/>
          <w:szCs w:val="23"/>
          <w:rFonts w:ascii="ABC Arizona Flare" w:cs="ABC Arizona Flare" w:eastAsia="ABC Arizona Flare" w:hAnsi="ABC Arizona Flare"/>
        </w:rPr>
        <w:t xml:space="preserve">Estate &amp; Business</w:t>
      </w:r>
    </w:p>
    <w:p>
      <w:pPr>
        <w:keepNext/>
        <w:spacing w:before="140" w:after="40"/>
      </w:pPr>
      <w:r>
        <w:rPr>
          <w:b/>
          <w:bCs/>
          <w:color w:val="0C2E3F"/>
          <w:sz w:val="21"/>
          <w:szCs w:val="21"/>
          <w:rFonts w:ascii="Nunito Sans" w:cs="Nunito Sans" w:eastAsia="Nunito Sans" w:hAnsi="Nunito Sans"/>
        </w:rPr>
        <w:t xml:space="preserve">Estate Planning Advice (e.g., Testamentary Trusts)</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10–30% (default 20%)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Non-Deductible</w:t>
      </w:r>
    </w:p>
    <w:p>
      <w:pPr>
        <w:spacing w:before="30" w:after="70" w:line="266"/>
      </w:pPr>
      <w:r>
        <w:rPr>
          <w:b/>
          <w:bCs/>
          <w:i w:val="false"/>
          <w:iCs w:val="false"/>
          <w:color w:val="1E7B4D"/>
          <w:sz w:val="19"/>
          <w:szCs w:val="19"/>
          <w:rFonts w:ascii="Nunito Sans" w:cs="Nunito Sans" w:eastAsia="Nunito Sans" w:hAnsi="Nunito Sans"/>
        </w:rPr>
        <w:t xml:space="preserve">Exemplar support: </w:t>
      </w:r>
      <w:r>
        <w:rPr>
          <w:b w:val="false"/>
          <w:bCs w:val="false"/>
          <w:i w:val="false"/>
          <w:iCs w:val="false"/>
          <w:color w:val="1E7B4D"/>
          <w:sz w:val="19"/>
          <w:szCs w:val="19"/>
          <w:rFonts w:ascii="Nunito Sans" w:cs="Nunito Sans" w:eastAsia="Nunito Sans" w:hAnsi="Nunito Sans"/>
        </w:rPr>
        <w:t xml:space="preserve">Exemplar invoice #2 and example 5.3.5 (Nil / 0%)</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when advice relates to wills, testamentary trusts, estate objectives, beneficiary planning, asset protection or intergenerational wealth transfer.</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Default 0% because estate planning is private/capital. Do not allocate deductibility merely because tax consequences or testamentary trust tax rates are discussed. Separate any distinct tax-affairs advice if genuinely scoped.</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Estate succession and private wealth transfer advice is capital/private and not sufficiently connected to current tax affairs or assessable income production.</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estate planning scope, testamentary trust discussion notes and file note confirming private/capital character. Separately document any standalone tax advice if claimed.</w:t>
      </w:r>
    </w:p>
    <w:p>
      <w:pPr>
        <w:keepNext/>
        <w:spacing w:before="140" w:after="40"/>
      </w:pPr>
      <w:r>
        <w:rPr>
          <w:b/>
          <w:bCs/>
          <w:color w:val="0C2E3F"/>
          <w:sz w:val="21"/>
          <w:szCs w:val="21"/>
          <w:rFonts w:ascii="Nunito Sans" w:cs="Nunito Sans" w:eastAsia="Nunito Sans" w:hAnsi="Nunito Sans"/>
        </w:rPr>
        <w:t xml:space="preserve">Advice on Death Benefit Nominations (Super)</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5–15% (default 10%)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Non-Deductible</w:t>
      </w:r>
    </w:p>
    <w:p>
      <w:pPr>
        <w:spacing w:before="30" w:after="70" w:line="266"/>
      </w:pPr>
      <w:r>
        <w:rPr>
          <w:b/>
          <w:bCs/>
          <w:i w:val="false"/>
          <w:iCs w:val="false"/>
          <w:color w:val="1E7B4D"/>
          <w:sz w:val="19"/>
          <w:szCs w:val="19"/>
          <w:rFonts w:ascii="Nunito Sans" w:cs="Nunito Sans" w:eastAsia="Nunito Sans" w:hAnsi="Nunito Sans"/>
        </w:rPr>
        <w:t xml:space="preserve">Exemplar support: </w:t>
      </w:r>
      <w:r>
        <w:rPr>
          <w:b w:val="false"/>
          <w:bCs w:val="false"/>
          <w:i w:val="false"/>
          <w:iCs w:val="false"/>
          <w:color w:val="1E7B4D"/>
          <w:sz w:val="19"/>
          <w:szCs w:val="19"/>
          <w:rFonts w:ascii="Nunito Sans" w:cs="Nunito Sans" w:eastAsia="Nunito Sans" w:hAnsi="Nunito Sans"/>
        </w:rPr>
        <w:t xml:space="preserve">Nil claim — estate-planning family (exemplar Nil rows)</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when advice relates to binding/non-binding death benefit nominations, beneficiary selection, super death benefit distribution and estate planning outcomes.</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Default 0% because advice is succession/estate planning. Do not treat death benefit tax implications as sufficient for deductibility unless there is separately identifiable tax-affairs analysis.</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Primarily estate/private planning with capital/succession character; tax consequences are incidental unless separately scoped.</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nomination advice, beneficiary analysis, death benefit tax notes if any and file note confirming estate/private nature of the strategy.</w:t>
      </w:r>
    </w:p>
    <w:p>
      <w:pPr>
        <w:keepNext/>
        <w:spacing w:before="140" w:after="40"/>
      </w:pPr>
      <w:r>
        <w:rPr>
          <w:b/>
          <w:bCs/>
          <w:color w:val="0C2E3F"/>
          <w:sz w:val="21"/>
          <w:szCs w:val="21"/>
          <w:rFonts w:ascii="Nunito Sans" w:cs="Nunito Sans" w:eastAsia="Nunito Sans" w:hAnsi="Nunito Sans"/>
        </w:rPr>
        <w:t xml:space="preserve">Business Succession Planning (Tax Implications)</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10–30% (default 20%)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0-40% (default 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s25-5</w:t>
      </w:r>
    </w:p>
    <w:p>
      <w:pPr>
        <w:spacing w:before="30" w:after="70" w:line="266"/>
      </w:pPr>
      <w:r>
        <w:rPr>
          <w:b/>
          <w:bCs/>
          <w:i w:val="false"/>
          <w:iCs w:val="false"/>
          <w:color w:val="B45309"/>
          <w:sz w:val="19"/>
          <w:szCs w:val="19"/>
          <w:rFonts w:ascii="Nunito Sans" w:cs="Nunito Sans" w:eastAsia="Nunito Sans" w:hAnsi="Nunito Sans"/>
        </w:rPr>
        <w:t xml:space="preserve">⚠ REQUIRES MANUAL REVIEW — not exemplar-backed: </w:t>
      </w:r>
      <w:r>
        <w:rPr>
          <w:b w:val="false"/>
          <w:bCs w:val="false"/>
          <w:i w:val="false"/>
          <w:iCs w:val="false"/>
          <w:color w:val="B45309"/>
          <w:sz w:val="19"/>
          <w:szCs w:val="19"/>
          <w:rFonts w:ascii="Nunito Sans" w:cs="Nunito Sans" w:eastAsia="Nunito Sans" w:hAnsi="Nunito Sans"/>
        </w:rPr>
        <w:t xml:space="preserve">No exemplar. 0–40% house range.</w:t>
      </w:r>
    </w:p>
    <w:p>
      <w:pPr>
        <w:spacing w:before="30" w:after="70" w:line="266"/>
      </w:pPr>
      <w:r>
        <w:rPr>
          <w:b/>
          <w:bCs/>
          <w:i w:val="false"/>
          <w:iCs w:val="false"/>
          <w:color w:val="1a1a1a"/>
          <w:sz w:val="19"/>
          <w:szCs w:val="19"/>
          <w:rFonts w:ascii="Nunito Sans" w:cs="Nunito Sans" w:eastAsia="Nunito Sans" w:hAnsi="Nunito Sans"/>
        </w:rPr>
        <w:t xml:space="preserve">Default invoice wording: </w:t>
      </w:r>
      <w:r>
        <w:rPr>
          <w:b w:val="false"/>
          <w:bCs w:val="false"/>
          <w:i/>
          <w:iCs/>
          <w:color w:val="1a1a1a"/>
          <w:sz w:val="19"/>
          <w:szCs w:val="19"/>
          <w:rFonts w:ascii="Nunito Sans" w:cs="Nunito Sans" w:eastAsia="Nunito Sans" w:hAnsi="Nunito Sans"/>
        </w:rPr>
        <w:t xml:space="preserve">“Advice on small business CGT concessions (s25-5)”</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when advice analyses business succession, ownership transition, shareholder/family transfer, continuity planning and related tax implications.</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Lower end where advice is mainly succession, asset protection, family transfer or capital restructuring. Higher end only where explicit tax-affairs analysis, CGT/rollover consequences and entity tax outcomes are central. Do not include general succession planning as deductible.</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Mixed capital/succession and tax-affairs advice. Deductible component depends on clearly identifiable tax analysis; ownership transfer and succession planning are capital/private.</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succession plan, entity/ownership structure, CGT/rollover analysis, tax modelling, shareholder agreement notes and file allocation between succession and tax-affairs work.</w:t>
      </w:r>
    </w:p>
    <w:p>
      <w:pPr>
        <w:keepNext/>
        <w:spacing w:before="140" w:after="40"/>
      </w:pPr>
      <w:r>
        <w:rPr>
          <w:b/>
          <w:bCs/>
          <w:color w:val="0C2E3F"/>
          <w:sz w:val="21"/>
          <w:szCs w:val="21"/>
          <w:rFonts w:ascii="Nunito Sans" w:cs="Nunito Sans" w:eastAsia="Nunito Sans" w:hAnsi="Nunito Sans"/>
        </w:rPr>
        <w:t xml:space="preserve">Small Business CGT Concessions Advice</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5–20% (default 13%)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70-100% (default 70%)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s25-5</w:t>
      </w:r>
    </w:p>
    <w:p>
      <w:pPr>
        <w:spacing w:before="30" w:after="70" w:line="266"/>
      </w:pPr>
      <w:r>
        <w:rPr>
          <w:b/>
          <w:bCs/>
          <w:i w:val="false"/>
          <w:iCs w:val="false"/>
          <w:color w:val="B45309"/>
          <w:sz w:val="19"/>
          <w:szCs w:val="19"/>
          <w:rFonts w:ascii="Nunito Sans" w:cs="Nunito Sans" w:eastAsia="Nunito Sans" w:hAnsi="Nunito Sans"/>
        </w:rPr>
        <w:t xml:space="preserve">⚠ REQUIRES MANUAL REVIEW — not exemplar-backed: </w:t>
      </w:r>
      <w:r>
        <w:rPr>
          <w:b w:val="false"/>
          <w:bCs w:val="false"/>
          <w:i w:val="false"/>
          <w:iCs w:val="false"/>
          <w:color w:val="B45309"/>
          <w:sz w:val="19"/>
          <w:szCs w:val="19"/>
          <w:rFonts w:ascii="Nunito Sans" w:cs="Nunito Sans" w:eastAsia="Nunito Sans" w:hAnsi="Nunito Sans"/>
        </w:rPr>
        <w:t xml:space="preserve">No exemplar. 70–100% rests on Division 152 being pure tax-affairs work.</w:t>
      </w:r>
    </w:p>
    <w:p>
      <w:pPr>
        <w:spacing w:before="30" w:after="70" w:line="266"/>
      </w:pPr>
      <w:r>
        <w:rPr>
          <w:b/>
          <w:bCs/>
          <w:i w:val="false"/>
          <w:iCs w:val="false"/>
          <w:color w:val="1a1a1a"/>
          <w:sz w:val="19"/>
          <w:szCs w:val="19"/>
          <w:rFonts w:ascii="Nunito Sans" w:cs="Nunito Sans" w:eastAsia="Nunito Sans" w:hAnsi="Nunito Sans"/>
        </w:rPr>
        <w:t xml:space="preserve">Default invoice wording: </w:t>
      </w:r>
      <w:r>
        <w:rPr>
          <w:b w:val="false"/>
          <w:bCs w:val="false"/>
          <w:i/>
          <w:iCs/>
          <w:color w:val="1a1a1a"/>
          <w:sz w:val="19"/>
          <w:szCs w:val="19"/>
          <w:rFonts w:ascii="Nunito Sans" w:cs="Nunito Sans" w:eastAsia="Nunito Sans" w:hAnsi="Nunito Sans"/>
        </w:rPr>
        <w:t xml:space="preserve">“Advice on small business CGT concessions (s25-5)”</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when advice specifically analyses Division 152 small business CGT concession eligibility, active asset tests, connected entity/affiliate rules, retirement exemption, 15-year exemption or concession sequencing.</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Lower end where CGT concession discussion is incidental to broader succession advice. Higher end where detailed eligibility testing, CGT calculations, concession selection and tax outcome modelling are central. Do not use if no specific CGT concession analysis was performed.</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Primarily tax-affairs advice under s25-5 because the work manages CGT consequences and tax concession eligibility.</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Division 152 eligibility checklist, CGT calculation, active asset analysis, entity/affiliate analysis, concession selection modelling, accountant notes and written tax recommendation.</w:t>
      </w:r>
    </w:p>
    <w:p>
      <w:pPr>
        <w:pStyle w:val="Heading2"/>
        <w:spacing w:before="180" w:after="70"/>
      </w:pPr>
      <w:r>
        <w:rPr>
          <w:b/>
          <w:bCs/>
          <w:color w:val="2B6FD6"/>
          <w:sz w:val="23"/>
          <w:szCs w:val="23"/>
          <w:rFonts w:ascii="ABC Arizona Flare" w:cs="ABC Arizona Flare" w:eastAsia="ABC Arizona Flare" w:hAnsi="ABC Arizona Flare"/>
        </w:rPr>
        <w:t xml:space="preserve">General</w:t>
      </w:r>
    </w:p>
    <w:p>
      <w:pPr>
        <w:keepNext/>
        <w:spacing w:before="140" w:after="40"/>
      </w:pPr>
      <w:r>
        <w:rPr>
          <w:b/>
          <w:bCs/>
          <w:color w:val="0C2E3F"/>
          <w:sz w:val="21"/>
          <w:szCs w:val="21"/>
          <w:rFonts w:ascii="Nunito Sans" w:cs="Nunito Sans" w:eastAsia="Nunito Sans" w:hAnsi="Nunito Sans"/>
        </w:rPr>
        <w:t xml:space="preserve">Financial Modelling &amp; Tax Projections</w:t>
      </w:r>
    </w:p>
    <w:p>
      <w:pPr>
        <w:spacing w:before="30" w:after="70" w:line="266"/>
      </w:pPr>
      <w:r>
        <w:rPr>
          <w:b/>
          <w:bCs/>
          <w:i w:val="false"/>
          <w:iCs w:val="false"/>
          <w:color w:val="1a1a1a"/>
          <w:sz w:val="19"/>
          <w:szCs w:val="19"/>
          <w:rFonts w:ascii="Nunito Sans" w:cs="Nunito Sans" w:eastAsia="Nunito Sans" w:hAnsi="Nunito Sans"/>
        </w:rPr>
        <w:t xml:space="preserve">Weighting guide: </w:t>
      </w:r>
      <w:r>
        <w:rPr>
          <w:b w:val="false"/>
          <w:bCs w:val="false"/>
          <w:i w:val="false"/>
          <w:iCs w:val="false"/>
          <w:color w:val="1a1a1a"/>
          <w:sz w:val="19"/>
          <w:szCs w:val="19"/>
          <w:rFonts w:ascii="Nunito Sans" w:cs="Nunito Sans" w:eastAsia="Nunito Sans" w:hAnsi="Nunito Sans"/>
        </w:rPr>
        <w:t xml:space="preserve">5–15% (default 10%)   ·   </w:t>
      </w:r>
      <w:r>
        <w:rPr>
          <w:b/>
          <w:bCs/>
          <w:i w:val="false"/>
          <w:iCs w:val="false"/>
          <w:color w:val="1a1a1a"/>
          <w:sz w:val="19"/>
          <w:szCs w:val="19"/>
          <w:rFonts w:ascii="Nunito Sans" w:cs="Nunito Sans" w:eastAsia="Nunito Sans" w:hAnsi="Nunito Sans"/>
        </w:rPr>
        <w:t xml:space="preserve">Deductible guide: </w:t>
      </w:r>
      <w:r>
        <w:rPr>
          <w:b w:val="false"/>
          <w:bCs w:val="false"/>
          <w:i w:val="false"/>
          <w:iCs w:val="false"/>
          <w:color w:val="1a1a1a"/>
          <w:sz w:val="19"/>
          <w:szCs w:val="19"/>
          <w:rFonts w:ascii="Nunito Sans" w:cs="Nunito Sans" w:eastAsia="Nunito Sans" w:hAnsi="Nunito Sans"/>
        </w:rPr>
        <w:t xml:space="preserve">100% (default 100%)   ·   </w:t>
      </w:r>
      <w:r>
        <w:rPr>
          <w:b/>
          <w:bCs/>
          <w:i w:val="false"/>
          <w:iCs w:val="false"/>
          <w:color w:val="1a1a1a"/>
          <w:sz w:val="19"/>
          <w:szCs w:val="19"/>
          <w:rFonts w:ascii="Nunito Sans" w:cs="Nunito Sans" w:eastAsia="Nunito Sans" w:hAnsi="Nunito Sans"/>
        </w:rPr>
        <w:t xml:space="preserve">Section: </w:t>
      </w:r>
      <w:r>
        <w:rPr>
          <w:b w:val="false"/>
          <w:bCs w:val="false"/>
          <w:i w:val="false"/>
          <w:iCs w:val="false"/>
          <w:color w:val="1a1a1a"/>
          <w:sz w:val="19"/>
          <w:szCs w:val="19"/>
          <w:rFonts w:ascii="Nunito Sans" w:cs="Nunito Sans" w:eastAsia="Nunito Sans" w:hAnsi="Nunito Sans"/>
        </w:rPr>
        <w:t xml:space="preserve">s25-5</w:t>
      </w:r>
    </w:p>
    <w:p>
      <w:pPr>
        <w:spacing w:before="30" w:after="70" w:line="266"/>
      </w:pPr>
      <w:r>
        <w:rPr>
          <w:b/>
          <w:bCs/>
          <w:i w:val="false"/>
          <w:iCs w:val="false"/>
          <w:color w:val="1E7B4D"/>
          <w:sz w:val="19"/>
          <w:szCs w:val="19"/>
          <w:rFonts w:ascii="Nunito Sans" w:cs="Nunito Sans" w:eastAsia="Nunito Sans" w:hAnsi="Nunito Sans"/>
        </w:rPr>
        <w:t xml:space="preserve">Exemplar support: </w:t>
      </w:r>
      <w:r>
        <w:rPr>
          <w:b w:val="false"/>
          <w:bCs w:val="false"/>
          <w:i w:val="false"/>
          <w:iCs w:val="false"/>
          <w:color w:val="1E7B4D"/>
          <w:sz w:val="19"/>
          <w:szCs w:val="19"/>
          <w:rFonts w:ascii="Nunito Sans" w:cs="Nunito Sans" w:eastAsia="Nunito Sans" w:hAnsi="Nunito Sans"/>
        </w:rPr>
        <w:t xml:space="preserve">Exemplar invoice #1 (100%, weighted 10%)</w:t>
      </w:r>
    </w:p>
    <w:p>
      <w:pPr>
        <w:spacing w:before="30" w:after="70" w:line="266"/>
      </w:pPr>
      <w:r>
        <w:rPr>
          <w:b/>
          <w:bCs/>
          <w:i w:val="false"/>
          <w:iCs w:val="false"/>
          <w:color w:val="1a1a1a"/>
          <w:sz w:val="19"/>
          <w:szCs w:val="19"/>
          <w:rFonts w:ascii="Nunito Sans" w:cs="Nunito Sans" w:eastAsia="Nunito Sans" w:hAnsi="Nunito Sans"/>
        </w:rPr>
        <w:t xml:space="preserve">Default invoice wording: </w:t>
      </w:r>
      <w:r>
        <w:rPr>
          <w:b w:val="false"/>
          <w:bCs w:val="false"/>
          <w:i/>
          <w:iCs/>
          <w:color w:val="1a1a1a"/>
          <w:sz w:val="19"/>
          <w:szCs w:val="19"/>
          <w:rFonts w:ascii="Nunito Sans" w:cs="Nunito Sans" w:eastAsia="Nunito Sans" w:hAnsi="Nunito Sans"/>
        </w:rPr>
        <w:t xml:space="preserve">“Financial modelling to calculate current or future tax payable based on different strategies (s25-5)”</w:t>
      </w:r>
    </w:p>
    <w:p>
      <w:pPr>
        <w:spacing w:before="30" w:after="70" w:line="266"/>
      </w:pPr>
      <w:r>
        <w:rPr>
          <w:b/>
          <w:bCs/>
          <w:i w:val="false"/>
          <w:iCs w:val="false"/>
          <w:color w:val="1a1a1a"/>
          <w:sz w:val="19"/>
          <w:szCs w:val="19"/>
          <w:rFonts w:ascii="Nunito Sans" w:cs="Nunito Sans" w:eastAsia="Nunito Sans" w:hAnsi="Nunito Sans"/>
        </w:rPr>
        <w:t xml:space="preserve">Use when: </w:t>
      </w:r>
      <w:r>
        <w:rPr>
          <w:b w:val="false"/>
          <w:bCs w:val="false"/>
          <w:i w:val="false"/>
          <w:iCs w:val="false"/>
          <w:color w:val="1a1a1a"/>
          <w:sz w:val="19"/>
          <w:szCs w:val="19"/>
          <w:rFonts w:ascii="Nunito Sans" w:cs="Nunito Sans" w:eastAsia="Nunito Sans" w:hAnsi="Nunito Sans"/>
        </w:rPr>
        <w:t xml:space="preserve">Use when the engagement includes financial modelling that considers and calculates the tax payable now and over time for the strategies recommended — tax projections, marginal-rate comparisons and net-of-tax outcome modelling.</w:t>
      </w:r>
    </w:p>
    <w:p>
      <w:pPr>
        <w:spacing w:before="30" w:after="70" w:line="266"/>
      </w:pPr>
      <w:r>
        <w:rPr>
          <w:b/>
          <w:bCs/>
          <w:i w:val="false"/>
          <w:iCs w:val="false"/>
          <w:color w:val="1a1a1a"/>
          <w:sz w:val="19"/>
          <w:szCs w:val="19"/>
          <w:rFonts w:ascii="Nunito Sans" w:cs="Nunito Sans" w:eastAsia="Nunito Sans" w:hAnsi="Nunito Sans"/>
        </w:rPr>
        <w:t xml:space="preserve">Apportionment guidance: </w:t>
      </w:r>
      <w:r>
        <w:rPr>
          <w:b w:val="false"/>
          <w:bCs w:val="false"/>
          <w:i w:val="false"/>
          <w:iCs w:val="false"/>
          <w:color w:val="1a1a1a"/>
          <w:sz w:val="19"/>
          <w:szCs w:val="19"/>
          <w:rFonts w:ascii="Nunito Sans" w:cs="Nunito Sans" w:eastAsia="Nunito Sans" w:hAnsi="Nunito Sans"/>
        </w:rPr>
        <w:t xml:space="preserve">Exemplar treatment is 100% under s25-5 — “financial modelling that considered and calculated the tax payable now and over time for all strategies” (firm exemplar invoice, weighted 10%). Only use this line where genuine tax modelling was produced; cashflow projections without tax calculations belong under budgeting (0%).</w:t>
      </w:r>
    </w:p>
    <w:p>
      <w:pPr>
        <w:spacing w:before="30" w:after="70" w:line="266"/>
      </w:pPr>
      <w:r>
        <w:rPr>
          <w:b/>
          <w:bCs/>
          <w:i w:val="false"/>
          <w:iCs w:val="false"/>
          <w:color w:val="1a1a1a"/>
          <w:sz w:val="19"/>
          <w:szCs w:val="19"/>
          <w:rFonts w:ascii="Nunito Sans" w:cs="Nunito Sans" w:eastAsia="Nunito Sans" w:hAnsi="Nunito Sans"/>
        </w:rPr>
        <w:t xml:space="preserve">Basis note: </w:t>
      </w:r>
      <w:r>
        <w:rPr>
          <w:b w:val="false"/>
          <w:bCs w:val="false"/>
          <w:i w:val="false"/>
          <w:iCs w:val="false"/>
          <w:color w:val="1a1a1a"/>
          <w:sz w:val="19"/>
          <w:szCs w:val="19"/>
          <w:rFonts w:ascii="Nunito Sans" w:cs="Nunito Sans" w:eastAsia="Nunito Sans" w:hAnsi="Nunito Sans"/>
        </w:rPr>
        <w:t xml:space="preserve">Financial modelling calculating current and future tax payable for the strategies advised is managing tax affairs — fully deductible under s25-5 per the firm exemplar.</w:t>
      </w:r>
    </w:p>
    <w:p>
      <w:pPr>
        <w:spacing w:before="30" w:after="110" w:line="266"/>
      </w:pPr>
      <w:r>
        <w:rPr>
          <w:b/>
          <w:bCs/>
          <w:i w:val="false"/>
          <w:iCs w:val="false"/>
          <w:color w:val="1a1a1a"/>
          <w:sz w:val="19"/>
          <w:szCs w:val="19"/>
          <w:rFonts w:ascii="Nunito Sans" w:cs="Nunito Sans" w:eastAsia="Nunito Sans" w:hAnsi="Nunito Sans"/>
        </w:rPr>
        <w:t xml:space="preserve">Evidence / file note: </w:t>
      </w:r>
      <w:r>
        <w:rPr>
          <w:b w:val="false"/>
          <w:bCs w:val="false"/>
          <w:i w:val="false"/>
          <w:iCs w:val="false"/>
          <w:color w:val="1a1a1a"/>
          <w:sz w:val="19"/>
          <w:szCs w:val="19"/>
          <w:rFonts w:ascii="Nunito Sans" w:cs="Nunito Sans" w:eastAsia="Nunito Sans" w:hAnsi="Nunito Sans"/>
        </w:rPr>
        <w:t xml:space="preserve">Retain the modelling output showing the tax payable calculations, assumptions, the strategies modelled and the advice document referencing the projections.</w:t>
      </w:r>
    </w:p>
    <w:p>
      <w:pPr>
        <w:spacing w:before="160" w:after="70" w:line="266"/>
      </w:pPr>
      <w:r>
        <w:rPr>
          <w:b w:val="false"/>
          <w:bCs w:val="false"/>
          <w:i/>
          <w:iCs/>
          <w:color w:val="5a6b76"/>
          <w:sz w:val="18"/>
          <w:szCs w:val="18"/>
          <w:rFonts w:ascii="Nunito Sans" w:cs="Nunito Sans" w:eastAsia="Nunito Sans" w:hAnsi="Nunito Sans"/>
        </w:rPr>
        <w:t xml:space="preserve">Internal specification for MWS. Percentages are house defaults aligned to the licensee exemplars — the adviser reviews and approves every invoice; not client tax advice.</w:t>
      </w:r>
    </w:p>
    <w:sectPr>
      <w:pgSz w:w="11906" w:h="16838" w:orient="portrait"/>
      <w:pgMar w:top="1000" w:right="1250" w:bottom="100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0"/>
        <w:szCs w:val="20"/>
        <w:rFonts w:ascii="Nunito Sans" w:cs="Nunito Sans" w:eastAsia="Nunito Sans" w:hAnsi="Nunito Sans"/>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2026-07-28T02:36:51.940Z</dcterms:created>
  <dcterms:modified xsi:type="dcterms:W3CDTF">2026-07-28T02:36:51.941Z</dcterms:modified>
</cp:coreProperties>
</file>

<file path=docProps/custom.xml><?xml version="1.0" encoding="utf-8"?>
<Properties xmlns="http://schemas.openxmlformats.org/officeDocument/2006/custom-properties" xmlns:vt="http://schemas.openxmlformats.org/officeDocument/2006/docPropsVTypes"/>
</file>