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360" w:after="120"/>
      </w:pPr>
      <w:r>
        <w:rPr>
          <w:b/>
          <w:sz w:val="28"/>
        </w:rPr>
        <w:t xml:space="preserve">SOA READINESS — UPDATED 05/07/2026 (v190_38k)</w:t>
      </w:r>
    </w:p>
    <w:p>
      <w:pPr>
        <w:spacing w:after="60"/>
      </w:pPr>
      <w:r>
        <w:rPr>
          <w:color w:val="1A1A1A"/>
          <w:sz w:val="21"/>
        </w:rPr>
        <w:t xml:space="preserve">Legend: GREEN working &amp; verified on real client batches (Robinson + Borgh headless runs) · ORANGE works with caveats noted · RED not working / not built · BLACK untested / needs your input.</w:t>
      </w:r>
    </w:p>
    <w:p>
      <w:pPr>
        <w:spacing w:after="60"/>
      </w:pPr>
      <w:r>
        <w:rPr>
          <w:color w:val="1A1A1A"/>
          <w:sz w:val="21"/>
        </w:rPr>
        <w:t xml:space="preserve">Verified this update: full 13-file Borgh batch and 14-file Robinson batch run end-to-end; 52/52 Borgh exemplar checks and Robinson regression pass.</w:t>
      </w:r>
    </w:p>
    <w:p>
      <w:pPr>
        <w:spacing w:before="360" w:after="120"/>
      </w:pPr>
      <w:r>
        <w:rPr>
          <w:b/>
          <w:sz w:val="28"/>
        </w:rPr>
        <w:t xml:space="preserve">SET UP</w:t>
      </w:r>
    </w:p>
    <w:p>
      <w:pPr>
        <w:spacing w:before="240" w:after="80"/>
      </w:pPr>
      <w:r>
        <w:rPr>
          <w:b/>
          <w:sz w:val="24"/>
        </w:rPr>
        <w:t xml:space="preserve">Advice Request Builder</w:t>
      </w:r>
    </w:p>
    <w:p>
      <w:pPr>
        <w:spacing w:after="60"/>
      </w:pPr>
      <w:r>
        <w:rPr>
          <w:color w:val="4F6228"/>
          <w:sz w:val="21"/>
        </w:rPr>
        <w:t xml:space="preserve">Set SOA type (current / new) &amp; format auto updates — driven by the advice request Status field; generator dropdown removed.</w:t>
      </w:r>
    </w:p>
    <w:p>
      <w:pPr>
        <w:spacing w:after="60"/>
      </w:pPr>
      <w:r>
        <w:rPr>
          <w:color w:val="4F6228"/>
          <w:sz w:val="21"/>
        </w:rPr>
        <w:t xml:space="preserve">Set single/couple &amp; format auto updates — from advice request ctype; couple + entity (SMSF / company) combos supported.</w:t>
      </w:r>
    </w:p>
    <w:p>
      <w:pPr>
        <w:spacing w:after="60"/>
      </w:pPr>
      <w:r>
        <w:rPr>
          <w:color w:val="4F6228"/>
          <w:sz w:val="21"/>
        </w:rPr>
        <w:t xml:space="preserve">Triggers tailored wording for each advice category and sub categories — 163 word-bank modules keyed Area::Trigger.</w:t>
      </w:r>
    </w:p>
    <w:p>
      <w:pPr>
        <w:spacing w:after="60"/>
      </w:pPr>
      <w:r>
        <w:rPr>
          <w:color w:val="4F6228"/>
          <w:sz w:val="21"/>
        </w:rPr>
        <w:t xml:space="preserve">Generates as a word doc &amp; JSON file.</w:t>
      </w:r>
    </w:p>
    <w:p>
      <w:pPr>
        <w:spacing w:after="60"/>
      </w:pPr>
      <w:r>
        <w:rPr>
          <w:color w:val="4F6228"/>
          <w:sz w:val="21"/>
        </w:rPr>
        <w:t xml:space="preserve">Builder restores your saved session on open (incl. strategy ticks) and can re-import a saved JSON.</w:t>
      </w:r>
    </w:p>
    <w:p>
      <w:pPr>
        <w:spacing w:before="240" w:after="80"/>
      </w:pPr>
      <w:r>
        <w:rPr>
          <w:b/>
          <w:sz w:val="24"/>
        </w:rPr>
        <w:t xml:space="preserve">Import Data</w:t>
      </w:r>
    </w:p>
    <w:p>
      <w:pPr>
        <w:spacing w:after="60"/>
      </w:pPr>
      <w:r>
        <w:rPr>
          <w:color w:val="E36C0A"/>
          <w:sz w:val="21"/>
        </w:rPr>
        <w:t xml:space="preserve">Set SOA type (accumulation / retirement) &amp; format auto updates — accumulation complete; retirement-specific sections (Cash Flow Movements, Asset Split Implications, retirement outcome tables) not built yet: send one retirement exemplar + inputs and I will build them.</w:t>
      </w:r>
    </w:p>
    <w:p>
      <w:pPr>
        <w:spacing w:after="60"/>
      </w:pPr>
      <w:r>
        <w:rPr>
          <w:color w:val="4F6228"/>
          <w:sz w:val="21"/>
        </w:rPr>
        <w:t xml:space="preserve">Move the New/Current Client selection to Import Data — done; it is read from the advice request automatically.</w:t>
      </w:r>
    </w:p>
    <w:p>
      <w:pPr>
        <w:spacing w:after="60"/>
      </w:pPr>
      <w:r>
        <w:rPr>
          <w:color w:val="4F6228"/>
          <w:sz w:val="21"/>
        </w:rPr>
        <w:t xml:space="preserve">Drag &amp; drop + click &amp; upload functionality.</w:t>
      </w:r>
    </w:p>
    <w:p>
      <w:pPr>
        <w:spacing w:after="60"/>
      </w:pPr>
      <w:r>
        <w:rPr>
          <w:color w:val="E36C0A"/>
          <w:sz w:val="21"/>
        </w:rPr>
        <w:t xml:space="preserve">Smart drop — FactFind JSON, Advice request JSON, insurer quotes &amp; commissions, risk researcher, CARE doc, wealthsolver (super &amp; investment), data collections, existing-increase quotes: all working. CDM comparisons: no sample provided yet — send one and I will add it.</w:t>
      </w:r>
    </w:p>
    <w:p>
      <w:pPr>
        <w:spacing w:after="60"/>
      </w:pPr>
      <w:r>
        <w:rPr>
          <w:color w:val="E36C0A"/>
          <w:sz w:val="21"/>
        </w:rPr>
        <w:t xml:space="preserve">Recognises PDF, excel, word doc — yes. Screenshots / scanned (image-only) PDFs — NO: there is no OCR in the browser app; export text-based PDFs instead.</w:t>
      </w:r>
    </w:p>
    <w:p>
      <w:pPr>
        <w:spacing w:after="60"/>
      </w:pPr>
      <w:r>
        <w:rPr>
          <w:color w:val="E36C0A"/>
          <w:sz w:val="21"/>
        </w:rPr>
        <w:t xml:space="preserve">Does it read all insurers? Deep-parsed: ClearView, NEOS/NobleOak, MetLife, OnePath/OneCare, TAL industry calculators, Zurich Active (NEW), ART/AIA existing-increase quotes (NEW), UniSuper existing-increase sheets (NEW). Detection-only (figures not extracted): AIA retail, other retail insurers — send a sample quote for each insurer you use and I will add a parser.</w:t>
      </w:r>
    </w:p>
    <w:p>
      <w:pPr>
        <w:spacing w:after="60"/>
      </w:pPr>
      <w:r>
        <w:rPr>
          <w:color w:val="E36C0A"/>
          <w:sz w:val="21"/>
        </w:rPr>
        <w:t xml:space="preserve">Does it read all data collections? ART + Brighter verified on real files; other industry funds vary — send samples.</w:t>
      </w:r>
    </w:p>
    <w:p>
      <w:pPr>
        <w:spacing w:after="60"/>
      </w:pPr>
      <w:r>
        <w:rPr>
          <w:color w:val="4F6228"/>
          <w:sz w:val="21"/>
        </w:rPr>
        <w:t xml:space="preserve">Conflict warning system — built; now also flags when the advice-request insurance/investment MCMA components disagree with the parsed quotes.</w:t>
      </w:r>
    </w:p>
    <w:p>
      <w:pPr>
        <w:spacing w:after="60"/>
      </w:pPr>
      <w:r>
        <w:rPr>
          <w:color w:val="4F6228"/>
          <w:sz w:val="21"/>
        </w:rPr>
        <w:t xml:space="preserve">Yellow highlight for inputs/auto population to check — invest amounts, adviser check-figures, and the insurance "further contributions" alternative line (your C25).</w:t>
      </w:r>
    </w:p>
    <w:p>
      <w:pPr>
        <w:spacing w:after="60"/>
      </w:pPr>
      <w:r>
        <w:rPr>
          <w:color w:val="4F6228"/>
          <w:sz w:val="21"/>
        </w:rPr>
        <w:t xml:space="preserve">SOA preview live &amp; full screen + download word doc.</w:t>
      </w:r>
    </w:p>
    <w:p>
      <w:pPr>
        <w:spacing w:after="60"/>
      </w:pPr>
      <w:r>
        <w:rPr>
          <w:color w:val="EE0000"/>
          <w:sz w:val="21"/>
        </w:rPr>
        <w:t xml:space="preserve">Undo/redo shortcut and buttons — not built yet.</w:t>
      </w:r>
    </w:p>
    <w:p>
      <w:pPr>
        <w:spacing w:after="60"/>
      </w:pPr>
      <w:r>
        <w:rPr>
          <w:color w:val="4F6228"/>
          <w:sz w:val="21"/>
        </w:rPr>
        <w:t xml:space="preserve">Reads JSON/SOA fact find — current situation, goals, scope &amp; strategies, figures, projected outcomes, risk profile, adviser.</w:t>
      </w:r>
    </w:p>
    <w:p>
      <w:pPr>
        <w:spacing w:after="60"/>
      </w:pPr>
      <w:r>
        <w:rPr>
          <w:color w:val="4F6228"/>
          <w:sz w:val="21"/>
        </w:rPr>
        <w:t xml:space="preserve">Reads the advice request — scope, strategies, products, surplus, MCMA breakdown, fees, tailored wording.</w:t>
      </w:r>
    </w:p>
    <w:p>
      <w:pPr>
        <w:spacing w:before="240" w:after="80"/>
      </w:pPr>
      <w:r>
        <w:rPr>
          <w:b/>
          <w:sz w:val="24"/>
        </w:rPr>
        <w:t xml:space="preserve">Client, Cover &amp; Intro</w:t>
      </w:r>
    </w:p>
    <w:p>
      <w:pPr>
        <w:spacing w:after="60"/>
      </w:pPr>
      <w:r>
        <w:rPr>
          <w:color w:val="4F6228"/>
          <w:sz w:val="21"/>
        </w:rPr>
        <w:t xml:space="preserve">Option to add an additional secondary adviser on SOA.</w:t>
      </w:r>
    </w:p>
    <w:p>
      <w:pPr>
        <w:spacing w:after="60"/>
      </w:pPr>
      <w:r>
        <w:rPr>
          <w:color w:val="4F6228"/>
          <w:sz w:val="21"/>
        </w:rPr>
        <w:t xml:space="preserve">Insurance specialist adviser name + email optional.</w:t>
      </w:r>
    </w:p>
    <w:p>
      <w:pPr>
        <w:spacing w:after="60"/>
      </w:pPr>
      <w:r>
        <w:rPr>
          <w:color w:val="4F6228"/>
          <w:sz w:val="21"/>
        </w:rPr>
        <w:t xml:space="preserve">Matches templated wording.</w:t>
      </w:r>
    </w:p>
    <w:p>
      <w:pPr>
        <w:spacing w:after="60"/>
      </w:pPr>
      <w:r>
        <w:rPr>
          <w:color w:val="4F6228"/>
          <w:sz w:val="21"/>
        </w:rPr>
        <w:t xml:space="preserve">Automatically inserts the correct adviser tax wording variation where applicable.</w:t>
      </w:r>
    </w:p>
    <w:p>
      <w:pPr>
        <w:spacing w:after="60"/>
      </w:pPr>
      <w:r>
        <w:rPr>
          <w:color w:val="EE0000"/>
          <w:sz w:val="21"/>
        </w:rPr>
        <w:t xml:space="preserve">CAR variations — MWS1, MWS2, MWS Sydney &amp; Ballina: still waiting on the Sydney/Ballina CAR details from the firm; send them and this is a quick add.</w:t>
      </w:r>
    </w:p>
    <w:p>
      <w:pPr>
        <w:spacing w:before="360" w:after="120"/>
      </w:pPr>
      <w:r>
        <w:rPr>
          <w:b/>
          <w:sz w:val="28"/>
        </w:rPr>
        <w:t xml:space="preserve">FRONT</w:t>
      </w:r>
    </w:p>
    <w:p>
      <w:pPr>
        <w:spacing w:before="240" w:after="80"/>
      </w:pPr>
      <w:r>
        <w:rPr>
          <w:b/>
          <w:sz w:val="24"/>
        </w:rPr>
        <w:t xml:space="preserve">Goals and Objectives</w:t>
      </w:r>
    </w:p>
    <w:p>
      <w:pPr>
        <w:spacing w:after="60"/>
      </w:pPr>
      <w:r>
        <w:rPr>
          <w:color w:val="E36C0A"/>
          <w:sz w:val="21"/>
        </w:rPr>
        <w:t xml:space="preserve">Surplus weekly/fortnightly switch — works in preview &amp; word doc; the editor field still does not refresh visually (cosmetic).</w:t>
      </w:r>
    </w:p>
    <w:p>
      <w:pPr>
        <w:spacing w:after="60"/>
      </w:pPr>
      <w:r>
        <w:rPr>
          <w:color w:val="4F6228"/>
          <w:sz w:val="21"/>
        </w:rPr>
        <w:t xml:space="preserve">Pulls through client-specific goals written in ROB.</w:t>
      </w:r>
    </w:p>
    <w:p>
      <w:pPr>
        <w:spacing w:after="60"/>
      </w:pPr>
      <w:r>
        <w:rPr>
          <w:color w:val="E36C0A"/>
          <w:sz w:val="21"/>
        </w:rPr>
        <w:t xml:space="preserve">Standard wording for accumulation; retirement variant pending the retirement build.</w:t>
      </w:r>
    </w:p>
    <w:p>
      <w:pPr>
        <w:spacing w:after="60"/>
      </w:pPr>
      <w:r>
        <w:rPr>
          <w:color w:val="4F6228"/>
          <w:sz w:val="21"/>
        </w:rPr>
        <w:t xml:space="preserve">Age calculates correctly for financial freedom.</w:t>
      </w:r>
    </w:p>
    <w:p>
      <w:pPr>
        <w:spacing w:after="60"/>
      </w:pPr>
      <w:r>
        <w:rPr>
          <w:color w:val="4F6228"/>
          <w:sz w:val="21"/>
        </w:rPr>
        <w:t xml:space="preserve">Optional goals (click to add); goals can be deleted, reordered, edited.</w:t>
      </w:r>
    </w:p>
    <w:p>
      <w:pPr>
        <w:spacing w:after="60"/>
      </w:pPr>
      <w:r>
        <w:rPr>
          <w:color w:val="1A1A1A"/>
          <w:sz w:val="21"/>
        </w:rPr>
        <w:t xml:space="preserve">Add more optional goals from the MWS SOA template — send the template goal list you want added.</w:t>
      </w:r>
    </w:p>
    <w:p>
      <w:pPr>
        <w:spacing w:after="60"/>
      </w:pPr>
      <w:r>
        <w:rPr>
          <w:color w:val="4F6228"/>
          <w:sz w:val="21"/>
        </w:rPr>
        <w:t xml:space="preserve">DOB at financial freedom calculated correctly.</w:t>
      </w:r>
    </w:p>
    <w:p>
      <w:pPr>
        <w:spacing w:before="240" w:after="80"/>
      </w:pPr>
      <w:r>
        <w:rPr>
          <w:b/>
          <w:sz w:val="24"/>
        </w:rPr>
        <w:t xml:space="preserve">Scope of our Advice</w:t>
      </w:r>
    </w:p>
    <w:p>
      <w:pPr>
        <w:spacing w:after="60"/>
      </w:pPr>
      <w:r>
        <w:rPr>
          <w:color w:val="4F6228"/>
          <w:sz w:val="21"/>
        </w:rPr>
        <w:t xml:space="preserve">Pre-populates scope in/out from JSON &amp; advice request; all tickable.</w:t>
      </w:r>
    </w:p>
    <w:p>
      <w:pPr>
        <w:spacing w:after="60"/>
      </w:pPr>
      <w:r>
        <w:rPr>
          <w:color w:val="4F6228"/>
          <w:sz w:val="21"/>
        </w:rPr>
        <w:t xml:space="preserve">Scope out wording pre-set but customisable — now includes the Military Super (Defined Benefit Portion) wording with the owner’s name (NEW).</w:t>
      </w:r>
    </w:p>
    <w:p>
      <w:pPr>
        <w:spacing w:after="60"/>
      </w:pPr>
      <w:r>
        <w:rPr>
          <w:color w:val="4F6228"/>
          <w:sz w:val="21"/>
        </w:rPr>
        <w:t xml:space="preserve">Reference by incorporation optional templated wording.</w:t>
      </w:r>
    </w:p>
    <w:p>
      <w:pPr>
        <w:spacing w:after="60"/>
      </w:pPr>
      <w:r>
        <w:rPr>
          <w:color w:val="4F6228"/>
          <w:sz w:val="21"/>
        </w:rPr>
        <w:t xml:space="preserve">Limited advice optional.</w:t>
      </w:r>
    </w:p>
    <w:p>
      <w:pPr>
        <w:spacing w:before="240" w:after="80"/>
      </w:pPr>
      <w:r>
        <w:rPr>
          <w:b/>
          <w:sz w:val="24"/>
        </w:rPr>
        <w:t xml:space="preserve">Your Current Situation</w:t>
      </w:r>
    </w:p>
    <w:p>
      <w:pPr>
        <w:spacing w:after="60"/>
      </w:pPr>
      <w:r>
        <w:rPr>
          <w:color w:val="4F6228"/>
          <w:sz w:val="21"/>
        </w:rPr>
        <w:t xml:space="preserve">Correctly switches between New and Current client wording.</w:t>
      </w:r>
    </w:p>
    <w:p>
      <w:pPr>
        <w:spacing w:after="60"/>
      </w:pPr>
      <w:r>
        <w:rPr>
          <w:color w:val="4F6228"/>
          <w:sz w:val="21"/>
        </w:rPr>
        <w:t xml:space="preserve">Preview stays on the current page when dropdowns change.</w:t>
      </w:r>
    </w:p>
    <w:p>
      <w:pPr>
        <w:spacing w:after="60"/>
      </w:pPr>
      <w:r>
        <w:rPr>
          <w:color w:val="E36C0A"/>
          <w:sz w:val="21"/>
        </w:rPr>
        <w:t xml:space="preserve">First Why sentence — selectable openers exist in the word bank; a dedicated dropdown UI is not built.</w:t>
      </w:r>
    </w:p>
    <w:p>
      <w:pPr>
        <w:spacing w:after="60"/>
      </w:pPr>
      <w:r>
        <w:rPr>
          <w:color w:val="4F6228"/>
          <w:sz w:val="21"/>
        </w:rPr>
        <w:t xml:space="preserve">Automatically imports current assets and liabilities from ROB.</w:t>
      </w:r>
    </w:p>
    <w:p>
      <w:pPr>
        <w:spacing w:after="60"/>
      </w:pPr>
      <w:r>
        <w:rPr>
          <w:color w:val="4F6228"/>
          <w:sz w:val="21"/>
        </w:rPr>
        <w:t xml:space="preserve">Employer populates the Annexure 1 table.</w:t>
      </w:r>
    </w:p>
    <w:p>
      <w:pPr>
        <w:spacing w:after="60"/>
      </w:pPr>
      <w:r>
        <w:rPr>
          <w:color w:val="4F6228"/>
          <w:sz w:val="21"/>
        </w:rPr>
        <w:t xml:space="preserve">NEW: super balances now render rounded with "approximately", and Military Super shows both portions: "$383,000 (Employer benefit portion) and $132,000 (Member and Ancillary Benefit portion)".</w:t>
      </w:r>
    </w:p>
    <w:p>
      <w:pPr>
        <w:spacing w:before="240" w:after="80"/>
      </w:pPr>
      <w:r>
        <w:rPr>
          <w:b/>
          <w:sz w:val="24"/>
        </w:rPr>
        <w:t xml:space="preserve">Summary</w:t>
      </w:r>
    </w:p>
    <w:p>
      <w:pPr>
        <w:spacing w:after="60"/>
      </w:pPr>
      <w:r>
        <w:rPr>
          <w:color w:val="4F6228"/>
          <w:sz w:val="21"/>
        </w:rPr>
        <w:t xml:space="preserve">Pulls through summary strategies / products / outcomes of every scoped-in advice.</w:t>
      </w:r>
    </w:p>
    <w:p>
      <w:pPr>
        <w:spacing w:after="60"/>
      </w:pPr>
      <w:r>
        <w:rPr>
          <w:color w:val="4F6228"/>
          <w:sz w:val="21"/>
        </w:rPr>
        <w:t xml:space="preserve">Data prepopulated from ROB, advice request, supporting docs.</w:t>
      </w:r>
    </w:p>
    <w:p>
      <w:pPr>
        <w:spacing w:after="60"/>
      </w:pPr>
      <w:r>
        <w:rPr>
          <w:color w:val="4F6228"/>
          <w:sz w:val="21"/>
        </w:rPr>
        <w:t xml:space="preserve">Admin + MyWealth portal appears for all clients with option to remove.</w:t>
      </w:r>
    </w:p>
    <w:p>
      <w:pPr>
        <w:spacing w:after="60"/>
      </w:pPr>
      <w:r>
        <w:rPr>
          <w:color w:val="4F6228"/>
          <w:sz w:val="21"/>
        </w:rPr>
        <w:t xml:space="preserve">Standard and tailored wording in summary outcomes; sub-notes optional per line.</w:t>
      </w:r>
    </w:p>
    <w:p>
      <w:pPr>
        <w:spacing w:after="60"/>
      </w:pPr>
      <w:r>
        <w:rPr>
          <w:color w:val="4F6228"/>
          <w:sz w:val="21"/>
        </w:rPr>
        <w:t xml:space="preserve">Services section matches templated wording.</w:t>
      </w:r>
    </w:p>
    <w:p>
      <w:pPr>
        <w:spacing w:after="60"/>
      </w:pPr>
      <w:r>
        <w:rPr>
          <w:color w:val="E36C0A"/>
          <w:sz w:val="21"/>
        </w:rPr>
        <w:t xml:space="preserve">Summary sync is ONE-WAY: the body recommendation updates the Summary automatically (retain + new cover blocks, per person, real figures). Editing the Summary does NOT push back into the body — two-way editing is on the backlog.</w:t>
      </w:r>
    </w:p>
    <w:p>
      <w:pPr>
        <w:spacing w:after="60"/>
      </w:pPr>
      <w:r>
        <w:rPr>
          <w:color w:val="1A1A1A"/>
          <w:sz w:val="21"/>
        </w:rPr>
        <w:t xml:space="preserve">Add more optional strategy lines from the MWS SOA template — send the list.</w:t>
      </w:r>
    </w:p>
    <w:p>
      <w:pPr>
        <w:spacing w:after="60"/>
      </w:pPr>
      <w:r>
        <w:rPr>
          <w:color w:val="4F6228"/>
          <w:sz w:val="21"/>
        </w:rPr>
        <w:t xml:space="preserve">Summary–Products auto-populated from CARE, wealthsolver, recommended quotes and advice request scope — incl. per-person "apply through &lt;insurer&gt;" lines when spouses use different insurers (NEW).</w:t>
      </w:r>
    </w:p>
    <w:p>
      <w:pPr>
        <w:spacing w:after="60"/>
      </w:pPr>
      <w:r>
        <w:rPr>
          <w:color w:val="4F6228"/>
          <w:sz w:val="21"/>
        </w:rPr>
        <w:t xml:space="preserve">Summary–Outcomes templated + tailored wording, incl. spouse-contribution $540 tax-offset line (NEW) and the Zurich Active eligibility note (NEW).</w:t>
      </w:r>
    </w:p>
    <w:p>
      <w:pPr>
        <w:spacing w:after="60"/>
      </w:pPr>
      <w:r>
        <w:rPr>
          <w:color w:val="4F6228"/>
          <w:sz w:val="21"/>
        </w:rPr>
        <w:t xml:space="preserve">NEW: stale placeholder ($XXX) insurance lines are suppressed once real quote figures exist.</w:t>
      </w:r>
    </w:p>
    <w:p>
      <w:pPr>
        <w:spacing w:before="240" w:after="80"/>
      </w:pPr>
      <w:r>
        <w:rPr>
          <w:b/>
          <w:sz w:val="24"/>
        </w:rPr>
        <w:t xml:space="preserve">Your Risk Profile</w:t>
      </w:r>
    </w:p>
    <w:p>
      <w:pPr>
        <w:spacing w:after="60"/>
      </w:pPr>
      <w:r>
        <w:rPr>
          <w:color w:val="EE0000"/>
          <w:sz w:val="21"/>
        </w:rPr>
        <w:t xml:space="preserve">Risk profile graphs from ROB — not built; needs a ROB graph export format.</w:t>
      </w:r>
    </w:p>
    <w:p>
      <w:pPr>
        <w:spacing w:after="60"/>
      </w:pPr>
      <w:r>
        <w:rPr>
          <w:color w:val="4F6228"/>
          <w:sz w:val="21"/>
        </w:rPr>
        <w:t xml:space="preserve">Risk profile variation wording — single, joint, entity, bump up/down.</w:t>
      </w:r>
    </w:p>
    <w:p>
      <w:pPr>
        <w:spacing w:after="60"/>
      </w:pPr>
      <w:r>
        <w:rPr>
          <w:color w:val="4F6228"/>
          <w:sz w:val="21"/>
        </w:rPr>
        <w:t xml:space="preserve">Risk profile wording changes for current vs new.</w:t>
      </w:r>
    </w:p>
    <w:p>
      <w:pPr>
        <w:spacing w:before="360" w:after="120"/>
      </w:pPr>
      <w:r>
        <w:rPr>
          <w:b/>
          <w:sz w:val="28"/>
        </w:rPr>
        <w:t xml:space="preserve">ADVICE</w:t>
      </w:r>
    </w:p>
    <w:p>
      <w:pPr>
        <w:spacing w:after="60"/>
      </w:pPr>
      <w:r>
        <w:rPr>
          <w:color w:val="EE0000"/>
          <w:sz w:val="21"/>
        </w:rPr>
        <w:t xml:space="preserve">Financial strategy summary section — no reference document yet; send an example SOA containing it.</w:t>
      </w:r>
    </w:p>
    <w:p>
      <w:pPr>
        <w:spacing w:before="240" w:after="80"/>
      </w:pPr>
      <w:r>
        <w:rPr>
          <w:b/>
          <w:sz w:val="24"/>
        </w:rPr>
        <w:t xml:space="preserve">3.1 Debt Management</w:t>
      </w:r>
    </w:p>
    <w:p>
      <w:pPr>
        <w:spacing w:after="60"/>
      </w:pPr>
      <w:r>
        <w:rPr>
          <w:color w:val="4F6228"/>
          <w:sz w:val="21"/>
        </w:rPr>
        <w:t xml:space="preserve">Wording updates for DR / investment property; loan limit table auto-calculates; interest cost savings and timeframes pull through; templated wording; table layout.</w:t>
      </w:r>
    </w:p>
    <w:p>
      <w:pPr>
        <w:spacing w:before="240" w:after="80"/>
      </w:pPr>
      <w:r>
        <w:rPr>
          <w:b/>
          <w:sz w:val="24"/>
        </w:rPr>
        <w:t xml:space="preserve">3.2 Investment Property</w:t>
      </w:r>
    </w:p>
    <w:p>
      <w:pPr>
        <w:spacing w:after="60"/>
      </w:pPr>
      <w:r>
        <w:rPr>
          <w:color w:val="4F6228"/>
          <w:sz w:val="21"/>
        </w:rPr>
        <w:t xml:space="preserve">Templated + tailored wording; joint/single switching.</w:t>
      </w:r>
    </w:p>
    <w:p>
      <w:pPr>
        <w:spacing w:before="240" w:after="80"/>
      </w:pPr>
      <w:r>
        <w:rPr>
          <w:b/>
          <w:sz w:val="24"/>
        </w:rPr>
        <w:t xml:space="preserve">3.3/3.4 Investment Bond</w:t>
      </w:r>
    </w:p>
    <w:p>
      <w:pPr>
        <w:spacing w:after="60"/>
      </w:pPr>
      <w:r>
        <w:rPr>
          <w:color w:val="E36C0A"/>
          <w:sz w:val="21"/>
        </w:rPr>
        <w:t xml:space="preserve">Built from template; GenLife projection prefill not yet exercised on a real GenLife file — send one to verify.</w:t>
      </w:r>
    </w:p>
    <w:p>
      <w:pPr>
        <w:spacing w:before="240" w:after="80"/>
      </w:pPr>
      <w:r>
        <w:rPr>
          <w:b/>
          <w:sz w:val="24"/>
        </w:rPr>
        <w:t xml:space="preserve">3.5/3.6 Investment Plan</w:t>
      </w:r>
    </w:p>
    <w:p>
      <w:pPr>
        <w:spacing w:after="60"/>
      </w:pPr>
      <w:r>
        <w:rPr>
          <w:color w:val="4F6228"/>
          <w:sz w:val="21"/>
        </w:rPr>
        <w:t xml:space="preserve">Initial/ongoing amounts, CARE wording, gearing wording (removed when no debt recycling), franking credits, Genuine Edge / ESG toggles, Full CARE vs Essentials switching, product table from CARE doc, alternative costs from wealthsolver.</w:t>
      </w:r>
    </w:p>
    <w:p>
      <w:pPr>
        <w:spacing w:before="240" w:after="80"/>
      </w:pPr>
      <w:r>
        <w:rPr>
          <w:b/>
          <w:sz w:val="24"/>
        </w:rPr>
        <w:t xml:space="preserve">3.7 Superannuation</w:t>
      </w:r>
    </w:p>
    <w:p>
      <w:pPr>
        <w:spacing w:after="60"/>
      </w:pPr>
      <w:r>
        <w:rPr>
          <w:color w:val="4F6228"/>
          <w:sz w:val="21"/>
        </w:rPr>
        <w:t xml:space="preserve">Full/partial rollover per advice request; retain-minimum wording; SG redirect logic; contribution strategies per client; multi super accounts — incl. NEW: separate "close" lines per fund, a dedicated "rollover your Military Super fund (Member and Ancillary benefits)" line, and correct owner routing of data collections (a Jessica file can no longer land on Adam).</w:t>
      </w:r>
    </w:p>
    <w:p>
      <w:pPr>
        <w:spacing w:after="60"/>
      </w:pPr>
      <w:r>
        <w:rPr>
          <w:color w:val="E36C0A"/>
          <w:sz w:val="21"/>
        </w:rPr>
        <w:t xml:space="preserve">SMSF wind-up / set-up / retain wording exists but has not been exercised on a real SMSF client batch yet.</w:t>
      </w:r>
    </w:p>
    <w:p>
      <w:pPr>
        <w:spacing w:after="60"/>
      </w:pPr>
      <w:r>
        <w:rPr>
          <w:color w:val="E36C0A"/>
          <w:sz w:val="21"/>
        </w:rPr>
        <w:t xml:space="preserve">Works for retirement &amp; accumulation — accumulation verified; retirement pending.</w:t>
      </w:r>
    </w:p>
    <w:p>
      <w:pPr>
        <w:spacing w:before="240" w:after="80"/>
      </w:pPr>
      <w:r>
        <w:rPr>
          <w:b/>
          <w:sz w:val="24"/>
        </w:rPr>
        <w:t xml:space="preserve">3.8 Superannuation Products</w:t>
      </w:r>
    </w:p>
    <w:p>
      <w:pPr>
        <w:spacing w:after="60"/>
      </w:pPr>
      <w:r>
        <w:rPr>
          <w:color w:val="4F6228"/>
          <w:sz w:val="21"/>
        </w:rPr>
        <w:t xml:space="preserve">CARE product tables, retained-fund split tables, alternative costs, admin/management cost deltas vs current and vs current-in-line-with-risk-profile.</w:t>
      </w:r>
    </w:p>
    <w:p>
      <w:pPr>
        <w:spacing w:before="240" w:after="80"/>
      </w:pPr>
      <w:r>
        <w:rPr>
          <w:b/>
          <w:sz w:val="24"/>
        </w:rPr>
        <w:t xml:space="preserve">3.9 Insurance</w:t>
      </w:r>
    </w:p>
    <w:p>
      <w:pPr>
        <w:spacing w:after="60"/>
      </w:pPr>
      <w:r>
        <w:rPr>
          <w:color w:val="4F6228"/>
          <w:sz w:val="21"/>
        </w:rPr>
        <w:t xml:space="preserve">Levels of cover as per advice request + quotes — incl. NEW Zurich Active (Life + Active health events, super/cash split from the quote).</w:t>
      </w:r>
    </w:p>
    <w:p>
      <w:pPr>
        <w:spacing w:after="60"/>
      </w:pPr>
      <w:r>
        <w:rPr>
          <w:color w:val="4F6228"/>
          <w:sz w:val="21"/>
        </w:rPr>
        <w:t xml:space="preserve">Multiple insurances per client (retain existing + new cover).</w:t>
      </w:r>
    </w:p>
    <w:p>
      <w:pPr>
        <w:spacing w:after="60"/>
      </w:pPr>
      <w:r>
        <w:rPr>
          <w:color w:val="4F6228"/>
          <w:sz w:val="21"/>
        </w:rPr>
        <w:t xml:space="preserve">Total super cost + total cashflow cost now come from the QUOTES (incl. stamp duty — Adam’s $168) rather than the fact-find.</w:t>
      </w:r>
    </w:p>
    <w:p>
      <w:pPr>
        <w:spacing w:after="60"/>
      </w:pPr>
      <w:r>
        <w:rPr>
          <w:color w:val="4F6228"/>
          <w:sz w:val="21"/>
        </w:rPr>
        <w:t xml:space="preserve">Underinsured/overinsured wording vs data collections.</w:t>
      </w:r>
    </w:p>
    <w:p>
      <w:pPr>
        <w:spacing w:after="60"/>
      </w:pPr>
      <w:r>
        <w:rPr>
          <w:color w:val="4F6228"/>
          <w:sz w:val="21"/>
        </w:rPr>
        <w:t xml:space="preserve">Standard needs-based wording for Life, TPD, IP, Trauma — plus NEW Active health events needs wording.</w:t>
      </w:r>
    </w:p>
    <w:p>
      <w:pPr>
        <w:spacing w:after="60"/>
      </w:pPr>
      <w:r>
        <w:rPr>
          <w:color w:val="4F6228"/>
          <w:sz w:val="21"/>
        </w:rPr>
        <w:t xml:space="preserve">Impact of insurance premium on retirement balance — now calculated on a 5-YEAR basis (your final SOAs for both Robinson and Borgh use 5 years, not 10; the tracker said 10).</w:t>
      </w:r>
    </w:p>
    <w:p>
      <w:pPr>
        <w:spacing w:after="60"/>
      </w:pPr>
      <w:r>
        <w:rPr>
          <w:color w:val="4F6228"/>
          <w:sz w:val="21"/>
        </w:rPr>
        <w:t xml:space="preserve">Recognises when Hub24 takeover wording should be used.</w:t>
      </w:r>
    </w:p>
    <w:p>
      <w:pPr>
        <w:spacing w:after="60"/>
      </w:pPr>
      <w:r>
        <w:rPr>
          <w:color w:val="4F6228"/>
          <w:sz w:val="21"/>
        </w:rPr>
        <w:t xml:space="preserve">Recognises when Zurich Active health events wording should be used (NEW — was red).</w:t>
      </w:r>
    </w:p>
    <w:p>
      <w:pPr>
        <w:spacing w:before="240" w:after="80"/>
      </w:pPr>
      <w:r>
        <w:rPr>
          <w:b/>
          <w:sz w:val="24"/>
        </w:rPr>
        <w:t xml:space="preserve">3.10 Insurance Products</w:t>
      </w:r>
    </w:p>
    <w:p>
      <w:pPr>
        <w:spacing w:after="60"/>
      </w:pPr>
      <w:r>
        <w:rPr>
          <w:color w:val="4F6228"/>
          <w:sz w:val="21"/>
        </w:rPr>
        <w:t xml:space="preserve">Products table per client, multiple insurers, prefilled from recommended quotes (NEW: "NEOS Mastertrust" grouping, monthly premiums incl. stamp duty, IP super-contribution option wording).</w:t>
      </w:r>
    </w:p>
    <w:p>
      <w:pPr>
        <w:spacing w:after="60"/>
      </w:pPr>
      <w:r>
        <w:rPr>
          <w:color w:val="4F6228"/>
          <w:sz w:val="21"/>
        </w:rPr>
        <w:t xml:space="preserve">Alternative costs from risk researcher (NEW: alternates are read from the RR premium row when no alternate quotes are supplied), plus alternate quotes when provided. CDM comparisons still need a sample.</w:t>
      </w:r>
    </w:p>
    <w:p>
      <w:pPr>
        <w:spacing w:after="60"/>
      </w:pPr>
      <w:r>
        <w:rPr>
          <w:color w:val="4F6228"/>
          <w:sz w:val="21"/>
        </w:rPr>
        <w:t xml:space="preserve">Insurance cost comparison table incl. differences — NEW: "(Existing Increased)" rows from UniSuper/ART existing-increase quotes; no like-for-like rows for Zurich Active clients (matches your final Borgh SOA).</w:t>
      </w:r>
    </w:p>
    <w:p>
      <w:pPr>
        <w:spacing w:before="240" w:after="80"/>
      </w:pPr>
      <w:r>
        <w:rPr>
          <w:b/>
          <w:sz w:val="24"/>
        </w:rPr>
        <w:t xml:space="preserve">3.11 Cashflow Management</w:t>
      </w:r>
    </w:p>
    <w:p>
      <w:pPr>
        <w:spacing w:after="60"/>
      </w:pPr>
      <w:r>
        <w:rPr>
          <w:color w:val="4F6228"/>
          <w:sz w:val="21"/>
        </w:rPr>
        <w:t xml:space="preserve">Templated + tailored wording; MCMA removed when not recommended; NEW: insurance/investment component cross-check against quotes with a conflict warning.</w:t>
      </w:r>
    </w:p>
    <w:p>
      <w:pPr>
        <w:spacing w:before="240" w:after="80"/>
      </w:pPr>
      <w:r>
        <w:rPr>
          <w:b/>
          <w:sz w:val="24"/>
        </w:rPr>
        <w:t xml:space="preserve">3.12 Administration</w:t>
      </w:r>
    </w:p>
    <w:p>
      <w:pPr>
        <w:spacing w:after="60"/>
      </w:pPr>
      <w:r>
        <w:rPr>
          <w:color w:val="4F6228"/>
          <w:sz w:val="21"/>
        </w:rPr>
        <w:t xml:space="preserve">Correct templated wording.</w:t>
      </w:r>
    </w:p>
    <w:p>
      <w:pPr>
        <w:spacing w:before="240" w:after="80"/>
      </w:pPr>
      <w:r>
        <w:rPr>
          <w:b/>
          <w:sz w:val="24"/>
        </w:rPr>
        <w:t xml:space="preserve">3.13 Estate Planning</w:t>
      </w:r>
    </w:p>
    <w:p>
      <w:pPr>
        <w:spacing w:after="60"/>
      </w:pPr>
      <w:r>
        <w:rPr>
          <w:color w:val="4F6228"/>
          <w:sz w:val="21"/>
        </w:rPr>
        <w:t xml:space="preserve">Correct templated wording; testamentary trust stripped when no children/dependants.</w:t>
      </w:r>
    </w:p>
    <w:p>
      <w:pPr>
        <w:spacing w:before="360" w:after="120"/>
      </w:pPr>
      <w:r>
        <w:rPr>
          <w:b/>
          <w:sz w:val="28"/>
        </w:rPr>
        <w:t xml:space="preserve">PROJECTOR</w:t>
      </w:r>
    </w:p>
    <w:p>
      <w:pPr>
        <w:spacing w:before="240" w:after="80"/>
      </w:pPr>
      <w:r>
        <w:rPr>
          <w:b/>
          <w:sz w:val="24"/>
        </w:rPr>
        <w:t xml:space="preserve">4.1 Reaching Your Targets / 4.2 Projected Outcomes</w:t>
      </w:r>
    </w:p>
    <w:p>
      <w:pPr>
        <w:spacing w:after="60"/>
      </w:pPr>
      <w:r>
        <w:rPr>
          <w:color w:val="E36C0A"/>
          <w:sz w:val="21"/>
        </w:rPr>
        <w:t xml:space="preserve">Prefills correctly and matches the JSON fact-find, including budget notes. IMPORTANT: the output can only be as current as the fact-find export — the Borgh final SOA used a newer pathway spreadsheet than the June fact-find, so those outcome figures differ. Re-export the fact-find after updating the pathway. Retirement (how-long) variant pending the retirement build.</w:t>
      </w:r>
    </w:p>
    <w:p>
      <w:pPr>
        <w:spacing w:before="240" w:after="80"/>
      </w:pPr>
      <w:r>
        <w:rPr>
          <w:b/>
          <w:sz w:val="24"/>
        </w:rPr>
        <w:t xml:space="preserve">4.3 PDS &amp; APL</w:t>
      </w:r>
    </w:p>
    <w:p>
      <w:pPr>
        <w:spacing w:after="60"/>
      </w:pPr>
      <w:r>
        <w:rPr>
          <w:color w:val="4F6228"/>
          <w:sz w:val="21"/>
        </w:rPr>
        <w:t xml:space="preserve">Merged into one PDS &amp; APL navigation; Hub24 removed from disclosure when not applicable.</w:t>
      </w:r>
    </w:p>
    <w:p>
      <w:pPr>
        <w:spacing w:before="360" w:after="120"/>
      </w:pPr>
      <w:r>
        <w:rPr>
          <w:b/>
          <w:sz w:val="28"/>
        </w:rPr>
        <w:t xml:space="preserve">REPLACEMENT IMPLICATIONS</w:t>
      </w:r>
    </w:p>
    <w:p>
      <w:pPr>
        <w:spacing w:before="240" w:after="80"/>
      </w:pPr>
      <w:r>
        <w:rPr>
          <w:b/>
          <w:sz w:val="24"/>
        </w:rPr>
        <w:t xml:space="preserve">5.1 Replacement — Investments</w:t>
      </w:r>
    </w:p>
    <w:p>
      <w:pPr>
        <w:spacing w:after="60"/>
      </w:pPr>
      <w:r>
        <w:rPr>
          <w:color w:val="4F6228"/>
          <w:sz w:val="21"/>
        </w:rPr>
        <w:t xml:space="preserve">Auto disregards when nothing replaced; prefills from data collection, wealthsolver, CARE; extra column for 2+ existing accounts.</w:t>
      </w:r>
    </w:p>
    <w:p>
      <w:pPr>
        <w:spacing w:after="60"/>
      </w:pPr>
      <w:r>
        <w:rPr>
          <w:color w:val="EE0000"/>
          <w:sz w:val="21"/>
        </w:rPr>
        <w:t xml:space="preserve">Extra column for lump-sum investment added to existing balance — not built (no sample scenario yet).</w:t>
      </w:r>
    </w:p>
    <w:p>
      <w:pPr>
        <w:spacing w:before="240" w:after="80"/>
      </w:pPr>
      <w:r>
        <w:rPr>
          <w:b/>
          <w:sz w:val="24"/>
        </w:rPr>
        <w:t xml:space="preserve">5.2 Replacement — Superannuation</w:t>
      </w:r>
    </w:p>
    <w:p>
      <w:pPr>
        <w:spacing w:after="60"/>
      </w:pPr>
      <w:r>
        <w:rPr>
          <w:color w:val="4F6228"/>
          <w:sz w:val="21"/>
        </w:rPr>
        <w:t xml:space="preserve">Extra columns for 2+ existing accounts — NEW: full per-fund layout (existing fund A | existing fund B | each in-line-with-risk-profile | recommended) with per-fund fee splits derived from WealthSolver, after-tax cost rows, and per-person ICR footnotes. Your C42 (Hub24 in the wrong column) is fixed.</w:t>
      </w:r>
    </w:p>
    <w:p>
      <w:pPr>
        <w:spacing w:after="60"/>
      </w:pPr>
      <w:r>
        <w:rPr>
          <w:color w:val="4F6228"/>
          <w:sz w:val="21"/>
        </w:rPr>
        <w:t xml:space="preserve">Prefills correctly from data collection, wealthsolver and CARE; auto disregards when no existing super replaced.</w:t>
      </w:r>
    </w:p>
    <w:p>
      <w:pPr>
        <w:spacing w:after="60"/>
      </w:pPr>
      <w:r>
        <w:rPr>
          <w:color w:val="EE0000"/>
          <w:sz w:val="21"/>
        </w:rPr>
        <w:t xml:space="preserve">Extra column for lump-sum contribution added to existing balance — not built (no sample scenario yet).</w:t>
      </w:r>
    </w:p>
    <w:p>
      <w:pPr>
        <w:spacing w:before="240" w:after="80"/>
      </w:pPr>
      <w:r>
        <w:rPr>
          <w:b/>
          <w:sz w:val="24"/>
        </w:rPr>
        <w:t xml:space="preserve">5.3 Replacement — Insurance</w:t>
      </w:r>
    </w:p>
    <w:p>
      <w:pPr>
        <w:spacing w:after="60"/>
      </w:pPr>
      <w:r>
        <w:rPr>
          <w:color w:val="4F6228"/>
          <w:sz w:val="21"/>
        </w:rPr>
        <w:t xml:space="preserve">Multiple insurers recognised; prefills from data collections + recommended quotes; NEW: the section is automatically dropped when no existing policy is being replaced (all-new covers), with existing-increase costs moved to the comparison table — exactly how your final Borgh SOA handles it (your C44).</w:t>
      </w:r>
    </w:p>
    <w:p>
      <w:pPr>
        <w:spacing w:after="60"/>
      </w:pPr>
      <w:r>
        <w:rPr>
          <w:color w:val="1A1A1A"/>
          <w:sz w:val="21"/>
        </w:rPr>
        <w:t xml:space="preserve">"Specific predict details are incorporated and accurate per insurer" — please clarify what this item refers to (product/predict?) and I will verify or build it.</w:t>
      </w:r>
    </w:p>
    <w:p>
      <w:pPr>
        <w:spacing w:before="360" w:after="120"/>
      </w:pPr>
      <w:r>
        <w:rPr>
          <w:b/>
          <w:sz w:val="28"/>
        </w:rPr>
        <w:t xml:space="preserve">END</w:t>
      </w:r>
    </w:p>
    <w:p>
      <w:pPr>
        <w:spacing w:before="240" w:after="80"/>
      </w:pPr>
      <w:r>
        <w:rPr>
          <w:b/>
          <w:sz w:val="24"/>
        </w:rPr>
        <w:t xml:space="preserve">Services</w:t>
      </w:r>
    </w:p>
    <w:p>
      <w:pPr>
        <w:spacing w:after="60"/>
      </w:pPr>
      <w:r>
        <w:rPr>
          <w:color w:val="4F6228"/>
          <w:sz w:val="21"/>
        </w:rPr>
        <w:t xml:space="preserve">Matches template; sell-down/closure line removed when no existing investments; termination-of-insurance line removed when no existing insurances.</w:t>
      </w:r>
    </w:p>
    <w:p>
      <w:pPr>
        <w:spacing w:after="60"/>
      </w:pPr>
      <w:r>
        <w:rPr>
          <w:color w:val="E36C0A"/>
          <w:sz w:val="21"/>
        </w:rPr>
        <w:t xml:space="preserve">Insurance-only SOA: section trimming works, but a full insurance-only client batch has not been run end-to-end — send one to verify.</w:t>
      </w:r>
    </w:p>
    <w:p>
      <w:pPr>
        <w:spacing w:before="240" w:after="80"/>
      </w:pPr>
      <w:r>
        <w:rPr>
          <w:b/>
          <w:sz w:val="24"/>
        </w:rPr>
        <w:t xml:space="preserve">Remuneration</w:t>
      </w:r>
    </w:p>
    <w:p>
      <w:pPr>
        <w:spacing w:after="60"/>
      </w:pPr>
      <w:r>
        <w:rPr>
          <w:color w:val="4F6228"/>
          <w:sz w:val="21"/>
        </w:rPr>
        <w:t xml:space="preserve">Auto populated from advice request; tax benefit wording; WM fees with FUM note; pension accounts get no-tax-deductibility wording; templated wording.</w:t>
      </w:r>
    </w:p>
    <w:p>
      <w:pPr>
        <w:spacing w:before="240" w:after="80"/>
      </w:pPr>
      <w:r>
        <w:rPr>
          <w:b/>
          <w:sz w:val="24"/>
        </w:rPr>
        <w:t xml:space="preserve">6.3 Insurance Commissions</w:t>
      </w:r>
    </w:p>
    <w:p>
      <w:pPr>
        <w:spacing w:after="60"/>
      </w:pPr>
      <w:r>
        <w:rPr>
          <w:color w:val="4F6228"/>
          <w:sz w:val="21"/>
        </w:rPr>
        <w:t xml:space="preserve">Pulls from the comms report and/or quote — NEW: Zurich Active commission disclosure inside the quote is read directly (Jessica $987 / $375 at 66%/22%); hybrid labels normalised to 66%/22% with exact dollars.</w:t>
      </w:r>
    </w:p>
    <w:p>
      <w:pPr>
        <w:spacing w:after="60"/>
      </w:pPr>
      <w:r>
        <w:rPr>
          <w:color w:val="4F6228"/>
          <w:sz w:val="21"/>
        </w:rPr>
        <w:t xml:space="preserve">Retained-existing-only clients: upfront commission disregarded, ongoing only.</w:t>
      </w:r>
    </w:p>
    <w:p>
      <w:pPr>
        <w:spacing w:after="60"/>
      </w:pPr>
      <w:r>
        <w:rPr>
          <w:color w:val="4F6228"/>
          <w:sz w:val="21"/>
        </w:rPr>
        <w:t xml:space="preserve">New business: both upfront and ongoing included.</w:t>
      </w:r>
    </w:p>
    <w:p>
      <w:pPr>
        <w:spacing w:before="240" w:after="80"/>
      </w:pPr>
      <w:r>
        <w:rPr>
          <w:b/>
          <w:sz w:val="24"/>
        </w:rPr>
        <w:t xml:space="preserve">6.4 Disclosures</w:t>
      </w:r>
    </w:p>
    <w:p>
      <w:pPr>
        <w:spacing w:after="60"/>
      </w:pPr>
      <w:r>
        <w:rPr>
          <w:color w:val="4F6228"/>
          <w:sz w:val="21"/>
        </w:rPr>
        <w:t xml:space="preserve">Associations update per adviser; referrals automate; optional add-ons (e.g. Collins Hume).</w:t>
      </w:r>
    </w:p>
    <w:p>
      <w:pPr>
        <w:spacing w:before="240" w:after="80"/>
      </w:pPr>
      <w:r>
        <w:rPr>
          <w:b/>
          <w:sz w:val="24"/>
        </w:rPr>
        <w:t xml:space="preserve">6.5 Authority to Proceed</w:t>
      </w:r>
    </w:p>
    <w:p>
      <w:pPr>
        <w:spacing w:after="60"/>
      </w:pPr>
      <w:r>
        <w:rPr>
          <w:color w:val="4F6228"/>
          <w:sz w:val="21"/>
        </w:rPr>
        <w:t xml:space="preserve">I/we switches automatically; signing page includes all parties incl. director, company, SMSF trustee; templated wording.</w:t>
      </w:r>
    </w:p>
    <w:p>
      <w:pPr>
        <w:spacing w:after="60"/>
      </w:pPr>
      <w:r>
        <w:rPr>
          <w:color w:val="EE0000"/>
          <w:sz w:val="21"/>
        </w:rPr>
        <w:t xml:space="preserve">Removes insurance ATP dot points when insurance is scoped out — not built yet.</w:t>
      </w:r>
    </w:p>
    <w:p>
      <w:pPr>
        <w:spacing w:before="360" w:after="120"/>
      </w:pPr>
      <w:r>
        <w:rPr>
          <w:b/>
          <w:sz w:val="28"/>
        </w:rPr>
        <w:t xml:space="preserve">KNOWN LIMITATIONS / NEEDS FROM YOU</w:t>
      </w:r>
    </w:p>
    <w:p>
      <w:pPr>
        <w:spacing w:after="60"/>
      </w:pPr>
      <w:r>
        <w:rPr>
          <w:color w:val="1A1A1A"/>
          <w:sz w:val="21"/>
        </w:rPr>
        <w:t xml:space="preserve">1. No OCR: screenshots and scanned PDFs cannot be read — use text PDFs/exports.</w:t>
      </w:r>
    </w:p>
    <w:p>
      <w:pPr>
        <w:spacing w:after="60"/>
      </w:pPr>
      <w:r>
        <w:rPr>
          <w:color w:val="1A1A1A"/>
          <w:sz w:val="21"/>
        </w:rPr>
        <w:t xml:space="preserve">2. CDM comparison sample needed to build that parser.</w:t>
      </w:r>
    </w:p>
    <w:p>
      <w:pPr>
        <w:spacing w:after="60"/>
      </w:pPr>
      <w:r>
        <w:rPr>
          <w:color w:val="1A1A1A"/>
          <w:sz w:val="21"/>
        </w:rPr>
        <w:t xml:space="preserve">3. Retirement SOA sections (Cash Flow Movements, Asset Split, retirement outcome tables): send one full retirement exemplar + inputs.</w:t>
      </w:r>
    </w:p>
    <w:p>
      <w:pPr>
        <w:spacing w:after="60"/>
      </w:pPr>
      <w:r>
        <w:rPr>
          <w:color w:val="1A1A1A"/>
          <w:sz w:val="21"/>
        </w:rPr>
        <w:t xml:space="preserve">4. Sydney/Ballina CAR details needed for the CAR variations.</w:t>
      </w:r>
    </w:p>
    <w:p>
      <w:pPr>
        <w:spacing w:after="60"/>
      </w:pPr>
      <w:r>
        <w:rPr>
          <w:color w:val="1A1A1A"/>
          <w:sz w:val="21"/>
        </w:rPr>
        <w:t xml:space="preserve">5. Financial Strategy Summary section: send a reference SOA that contains it.</w:t>
      </w:r>
    </w:p>
    <w:p>
      <w:pPr>
        <w:spacing w:after="60"/>
      </w:pPr>
      <w:r>
        <w:rPr>
          <w:color w:val="1A1A1A"/>
          <w:sz w:val="21"/>
        </w:rPr>
        <w:t xml:space="preserve">6. Pathway/outcome figures are only as current as the fact-find JSON export — re-export after updating the pathway spreadsheet (this caused the Borgh outcome differences).</w:t>
      </w:r>
    </w:p>
    <w:p>
      <w:pPr>
        <w:spacing w:after="60"/>
      </w:pPr>
      <w:r>
        <w:rPr>
          <w:color w:val="1A1A1A"/>
          <w:sz w:val="21"/>
        </w:rPr>
        <w:t xml:space="preserve">7. Risk profile graphs need a ROB export format.</w:t>
      </w:r>
    </w:p>
    <w:p>
      <w:pPr>
        <w:spacing w:after="60"/>
      </w:pPr>
      <w:r>
        <w:rPr>
          <w:color w:val="1A1A1A"/>
          <w:sz w:val="21"/>
        </w:rPr>
        <w:t xml:space="preserve">8. Two-way Summary editing (summary edits pushing into the body) is on the backlog; body-to-summary sync is live.</w:t>
      </w:r>
    </w:p>
    <w:sectPr>
      <w:pgSz w:w="11906" w:h="16838"/>
      <w:pgMar w:top="1134" w:right="1134" w:bottom="1134" w:left="1134"/>
    </w:sectPr>
  </w:body>
</w:document>
</file>