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MWS SOA — ADVICE REQUEST TEMPLATE</w:t>
      </w:r>
    </w:p>
    <w:p>
      <w:pPr>
        <w:jc w:val="center"/>
      </w:pPr>
      <w:r>
        <w:rPr>
          <w:i/>
          <w:color w:val="555555"/>
          <w:sz w:val="18"/>
        </w:rPr>
        <w:t>Tick a strategy line to fire its wording; fill the $ blanks for figures. Structured fields (Parts 1, 3, 6, 7) are read directly into the SOA. Free-text notes are still keyword-scanned.</w:t>
      </w:r>
    </w:p>
    <w:p>
      <w:r>
        <w:rPr>
          <w:b/>
          <w:color w:val="1F3A5F"/>
          <w:sz w:val="30"/>
        </w:rPr>
        <w:t>PART 1 — Client &amp; Entity Details  [read directly]</w:t>
      </w:r>
    </w:p>
    <w:p>
      <w:r>
        <w:rPr>
          <w:b/>
        </w:rPr>
        <w:t xml:space="preserve">Client 1 full name: </w:t>
      </w:r>
      <w:r>
        <w:t>_______________________________</w:t>
      </w:r>
    </w:p>
    <w:p>
      <w:r>
        <w:rPr>
          <w:b/>
        </w:rPr>
        <w:t xml:space="preserve">Client 1 DOB / preferred name: </w:t>
      </w:r>
      <w:r>
        <w:t>_______________________________</w:t>
      </w:r>
    </w:p>
    <w:p>
      <w:r>
        <w:rPr>
          <w:b/>
        </w:rPr>
        <w:t xml:space="preserve">Client 2 full name (if couple): </w:t>
      </w:r>
      <w:r>
        <w:t>_______________________________</w:t>
      </w:r>
    </w:p>
    <w:p>
      <w:r>
        <w:rPr>
          <w:b/>
        </w:rPr>
        <w:t xml:space="preserve">Client 2 DOB / preferred name: </w:t>
      </w:r>
      <w:r>
        <w:t>_______________________________</w:t>
      </w:r>
    </w:p>
    <w:p>
      <w:r>
        <w:rPr>
          <w:b/>
        </w:rPr>
        <w:t xml:space="preserve">Client type: </w:t>
      </w:r>
      <w:r>
        <w:t>_______________________________</w:t>
      </w:r>
      <w:r>
        <w:rPr>
          <w:i/>
          <w:color w:val="555555"/>
          <w:sz w:val="16"/>
        </w:rPr>
        <w:t xml:space="preserve">   single / couple / + entity</w:t>
      </w:r>
    </w:p>
    <w:p>
      <w:r>
        <w:rPr>
          <w:b/>
        </w:rPr>
        <w:t xml:space="preserve">Entity (if any): </w:t>
      </w:r>
      <w:r>
        <w:t>_______________________________</w:t>
      </w:r>
      <w:r>
        <w:rPr>
          <w:i/>
          <w:color w:val="555555"/>
          <w:sz w:val="16"/>
        </w:rPr>
        <w:t xml:space="preserve">   name + type: SMSF / company / trust + ABN/ACN</w:t>
      </w:r>
    </w:p>
    <w:p>
      <w:r>
        <w:rPr>
          <w:b/>
        </w:rPr>
        <w:t xml:space="preserve">New or existing client: </w:t>
      </w:r>
      <w:r>
        <w:t>_______________________________</w:t>
      </w:r>
      <w:r>
        <w:rPr>
          <w:i/>
          <w:color w:val="555555"/>
          <w:sz w:val="16"/>
        </w:rPr>
        <w:t xml:space="preserve">   new / existing</w:t>
      </w:r>
    </w:p>
    <w:p>
      <w:r>
        <w:rPr>
          <w:b/>
          <w:color w:val="1F3A5F"/>
          <w:sz w:val="30"/>
        </w:rPr>
        <w:t>PART 2 — Scope of Advice  [sets the section gates]</w:t>
      </w:r>
    </w:p>
    <w:p>
      <w:r>
        <w:rPr>
          <w:i/>
          <w:color w:val="555555"/>
          <w:sz w:val="18"/>
        </w:rPr>
        <w:t>Tick IN-scope areas. Anything unticked is scoped out and its section/wording is suppressed.</w:t>
      </w:r>
    </w:p>
    <w:p>
      <w:pPr>
        <w:ind w:left="360"/>
      </w:pPr>
      <w:r>
        <w:rPr>
          <w:sz w:val="22"/>
        </w:rPr>
        <w:t xml:space="preserve">☐  </w:t>
      </w:r>
      <w:r>
        <w:t>0 · Client framing &amp; scope</w:t>
      </w:r>
    </w:p>
    <w:p>
      <w:pPr>
        <w:ind w:left="360"/>
      </w:pPr>
      <w:r>
        <w:rPr>
          <w:sz w:val="22"/>
        </w:rPr>
        <w:t xml:space="preserve">☐  </w:t>
      </w:r>
      <w:r>
        <w:t>1 · Debt Management</w:t>
      </w:r>
    </w:p>
    <w:p>
      <w:pPr>
        <w:ind w:left="360"/>
      </w:pPr>
      <w:r>
        <w:rPr>
          <w:sz w:val="22"/>
        </w:rPr>
        <w:t xml:space="preserve">☐  </w:t>
      </w:r>
      <w:r>
        <w:t>2 · Investment Property</w:t>
      </w:r>
    </w:p>
    <w:p>
      <w:pPr>
        <w:ind w:left="360"/>
      </w:pPr>
      <w:r>
        <w:rPr>
          <w:sz w:val="22"/>
        </w:rPr>
        <w:t xml:space="preserve">☐  </w:t>
      </w:r>
      <w:r>
        <w:t>3 · Investment Plan</w:t>
      </w:r>
    </w:p>
    <w:p>
      <w:pPr>
        <w:ind w:left="360"/>
      </w:pPr>
      <w:r>
        <w:rPr>
          <w:sz w:val="22"/>
        </w:rPr>
        <w:t xml:space="preserve">☐  </w:t>
      </w:r>
      <w:r>
        <w:t>4 · Superannuation</w:t>
      </w:r>
    </w:p>
    <w:p>
      <w:pPr>
        <w:ind w:left="360"/>
      </w:pPr>
      <w:r>
        <w:rPr>
          <w:sz w:val="22"/>
        </w:rPr>
        <w:t xml:space="preserve">☐  </w:t>
      </w:r>
      <w:r>
        <w:t>5 · Super Contributions</w:t>
      </w:r>
    </w:p>
    <w:p>
      <w:pPr>
        <w:ind w:left="360"/>
      </w:pPr>
      <w:r>
        <w:rPr>
          <w:sz w:val="22"/>
        </w:rPr>
        <w:t xml:space="preserve">☐  </w:t>
      </w:r>
      <w:r>
        <w:t>6 · Insurance / Personal Protection</w:t>
      </w:r>
    </w:p>
    <w:p>
      <w:pPr>
        <w:ind w:left="360"/>
      </w:pPr>
      <w:r>
        <w:rPr>
          <w:sz w:val="22"/>
        </w:rPr>
        <w:t xml:space="preserve">☐  </w:t>
      </w:r>
      <w:r>
        <w:t>7 · Cashflow &amp; Budgeting</w:t>
      </w:r>
    </w:p>
    <w:p>
      <w:pPr>
        <w:ind w:left="360"/>
      </w:pPr>
      <w:r>
        <w:rPr>
          <w:sz w:val="22"/>
        </w:rPr>
        <w:t xml:space="preserve">☐  </w:t>
      </w:r>
      <w:r>
        <w:t>8 · Estate Planning</w:t>
      </w:r>
    </w:p>
    <w:p>
      <w:pPr>
        <w:ind w:left="360"/>
      </w:pPr>
      <w:r>
        <w:rPr>
          <w:sz w:val="22"/>
        </w:rPr>
        <w:t xml:space="preserve">☐  </w:t>
      </w:r>
      <w:r>
        <w:t>9 · Administration</w:t>
      </w:r>
    </w:p>
    <w:p>
      <w:pPr>
        <w:ind w:left="360"/>
      </w:pPr>
      <w:r>
        <w:rPr>
          <w:sz w:val="22"/>
        </w:rPr>
        <w:t xml:space="preserve">☐  </w:t>
      </w:r>
      <w:r>
        <w:t>10 · Entities (company / trust / SMSF)</w:t>
      </w:r>
    </w:p>
    <w:p>
      <w:r>
        <w:rPr>
          <w:b/>
        </w:rPr>
        <w:t xml:space="preserve">Explicit scope-OUT notes: </w:t>
      </w:r>
      <w:r>
        <w:t>_______________________________</w:t>
      </w:r>
      <w:r>
        <w:rPr>
          <w:i/>
          <w:color w:val="555555"/>
          <w:sz w:val="16"/>
        </w:rPr>
        <w:t xml:space="preserve">   e.g. business advice, existing SMSF property</w:t>
      </w:r>
    </w:p>
    <w:p>
      <w:r>
        <w:rPr>
          <w:b/>
          <w:color w:val="1F3A5F"/>
          <w:sz w:val="30"/>
        </w:rPr>
        <w:t>PART 3 — Risk Profile, Platform &amp; Product  [read directly]</w:t>
      </w:r>
    </w:p>
    <w:p>
      <w:r>
        <w:rPr>
          <w:b/>
        </w:rPr>
        <w:t xml:space="preserve">Investment risk profile: </w:t>
      </w:r>
      <w:r>
        <w:t>_______________________________</w:t>
      </w:r>
      <w:r>
        <w:rPr>
          <w:i/>
          <w:color w:val="555555"/>
          <w:sz w:val="16"/>
        </w:rPr>
        <w:t xml:space="preserve">   Cash/Defensive/Balanced/Growth/High Growth (+bump)</w:t>
      </w:r>
    </w:p>
    <w:p>
      <w:r>
        <w:rPr>
          <w:b/>
        </w:rPr>
        <w:t xml:space="preserve">Super risk profile: </w:t>
      </w:r>
      <w:r>
        <w:t>_______________________________</w:t>
      </w:r>
      <w:r>
        <w:rPr>
          <w:i/>
          <w:color w:val="555555"/>
          <w:sz w:val="16"/>
        </w:rPr>
        <w:t xml:space="preserve">   if different to investment</w:t>
      </w:r>
    </w:p>
    <w:p>
      <w:r>
        <w:rPr>
          <w:b/>
        </w:rPr>
        <w:t xml:space="preserve">Recommended platform: </w:t>
      </w:r>
      <w:r>
        <w:t>_______________________________</w:t>
      </w:r>
      <w:r>
        <w:rPr>
          <w:i/>
          <w:color w:val="555555"/>
          <w:sz w:val="16"/>
        </w:rPr>
        <w:t xml:space="preserve">   Hub24 / Netwealth / CFS Edge / …</w:t>
      </w:r>
    </w:p>
    <w:p>
      <w:r>
        <w:rPr>
          <w:b/>
        </w:rPr>
        <w:t xml:space="preserve">Investment approach: </w:t>
      </w:r>
      <w:r>
        <w:t>_______________________________</w:t>
      </w:r>
      <w:r>
        <w:rPr>
          <w:i/>
          <w:color w:val="555555"/>
          <w:sz w:val="16"/>
        </w:rPr>
        <w:t xml:space="preserve">   CARE (Essentials/Full/Genuine Edge) / Vanguard index / Vanguard Diversified / other</w:t>
      </w:r>
    </w:p>
    <w:p>
      <w:r>
        <w:rPr>
          <w:b/>
        </w:rPr>
        <w:t xml:space="preserve">Specific funds / portfolio: </w:t>
      </w:r>
      <w:r>
        <w:t>_______________________________</w:t>
      </w:r>
      <w:r>
        <w:rPr>
          <w:i/>
          <w:color w:val="555555"/>
          <w:sz w:val="16"/>
        </w:rPr>
        <w:t xml:space="preserve">   e.g. Vanguard Growth 100%</w:t>
      </w:r>
    </w:p>
    <w:p>
      <w:r>
        <w:rPr>
          <w:b/>
          <w:color w:val="1F3A5F"/>
          <w:sz w:val="30"/>
        </w:rPr>
        <w:t>PART 4 — Strategy Selection  [each ticked line fires its word-bank wording]</w:t>
      </w:r>
    </w:p>
    <w:p>
      <w:r>
        <w:rPr>
          <w:i/>
          <w:color w:val="555555"/>
          <w:sz w:val="18"/>
        </w:rPr>
        <w:t>Lines are the canonical trigger phrases. Tick to include; enter the $ figure where shown. A+B combos fire when both their lines are ticked.</w:t>
      </w:r>
    </w:p>
    <w:p>
      <w:r>
        <w:rPr>
          <w:b/>
          <w:color w:val="127A7A"/>
          <w:sz w:val="22"/>
        </w:rPr>
        <w:t>0 · Client framing &amp; scope</w:t>
      </w:r>
    </w:p>
    <w:p>
      <w:pPr>
        <w:ind w:left="360"/>
      </w:pPr>
      <w:r>
        <w:rPr>
          <w:sz w:val="22"/>
        </w:rPr>
        <w:t xml:space="preserve">☐  </w:t>
      </w:r>
      <w:r>
        <w:t>New client — Introduction &amp; Current Situation opener</w:t>
      </w:r>
    </w:p>
    <w:p>
      <w:pPr>
        <w:ind w:left="360"/>
      </w:pPr>
      <w:r>
        <w:rPr>
          <w:sz w:val="22"/>
        </w:rPr>
        <w:t xml:space="preserve">☐  </w:t>
      </w:r>
      <w:r>
        <w:t>Existing / current client — Introduction &amp; Current Situation opener   → trigger: “existing client”</w:t>
      </w:r>
    </w:p>
    <w:p>
      <w:pPr>
        <w:ind w:left="360"/>
      </w:pPr>
      <w:r>
        <w:rPr>
          <w:sz w:val="22"/>
        </w:rPr>
        <w:t xml:space="preserve">☐  </w:t>
      </w:r>
      <w:r>
        <w:t>Risk profile — reviewed &amp; remains appropriate (existing client)   → trigger: “risk profile remains appropriate”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Scope — reference by incorporation (existing client)   → trigger: “incorporates information”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Scope-out — business advice (and other common scope-outs)   → trigger: “business advice scoped out”</w:t>
      </w:r>
    </w:p>
    <w:p>
      <w:r>
        <w:rPr>
          <w:b/>
          <w:color w:val="127A7A"/>
          <w:sz w:val="22"/>
        </w:rPr>
        <w:t>1 · Debt Management</w:t>
      </w:r>
    </w:p>
    <w:p>
      <w:pPr>
        <w:ind w:left="360"/>
      </w:pPr>
      <w:r>
        <w:rPr>
          <w:sz w:val="22"/>
        </w:rPr>
        <w:t xml:space="preserve">☐  </w:t>
      </w:r>
      <w:r>
        <w:t>Establish / utilise an offset account</w:t>
      </w:r>
    </w:p>
    <w:p>
      <w:pPr>
        <w:ind w:left="360"/>
      </w:pPr>
      <w:r>
        <w:rPr>
          <w:sz w:val="22"/>
        </w:rPr>
        <w:t xml:space="preserve">☐  </w:t>
      </w:r>
      <w:r>
        <w:t>Direct surplus income + tax savings to offset (always-on)   → trigger: “direct surplus to offset”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Use cash / sale proceeds to reduce the home loan   → trigger: “pay down home loan”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Retain an emergency cash buffer in the offset   → trigger: “emergency buffer”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Consolidate car loan into home loan</w:t>
      </w:r>
    </w:p>
    <w:p>
      <w:pPr>
        <w:ind w:left="360"/>
      </w:pPr>
      <w:r>
        <w:rPr>
          <w:sz w:val="22"/>
        </w:rPr>
        <w:t xml:space="preserve">☐  </w:t>
      </w:r>
      <w:r>
        <w:t>Consolidate other debt (personal loan / credit card)   → trigger: “consolidate personal loan”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Refinance investment property loan from P&amp;I to interest only   → trigger: “investment property interest only”</w:t>
      </w:r>
    </w:p>
    <w:p>
      <w:pPr>
        <w:ind w:left="360"/>
      </w:pPr>
      <w:r>
        <w:rPr>
          <w:sz w:val="22"/>
        </w:rPr>
        <w:t xml:space="preserve">☐  </w:t>
      </w:r>
      <w:r>
        <w:t>Refinance to draw on available equity (GEARING)   → trigger: “draw on equity”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Use equity to fund the 20% deposit for an investment property purchase (GEARING)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Establish a Term Loan / debt recycling (GEARING)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Use inheritance / windfall to pay down the home loan   → trigger: “inheritance to pay down”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Switch home loan from principal &amp; interest to interest only   → trigger: “switch home loan to interest only”</w:t>
      </w:r>
    </w:p>
    <w:p>
      <w:r>
        <w:rPr>
          <w:b/>
          <w:color w:val="127A7A"/>
          <w:sz w:val="22"/>
        </w:rPr>
        <w:t>2 · Investment Property</w:t>
      </w:r>
    </w:p>
    <w:p>
      <w:pPr>
        <w:ind w:left="360"/>
      </w:pPr>
      <w:r>
        <w:rPr>
          <w:sz w:val="22"/>
        </w:rPr>
        <w:t xml:space="preserve">☐  </w:t>
      </w:r>
      <w:r>
        <w:t>Purchase an investment property using equity   → trigger: “purchase investment property”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Purchase an investment property using cash / savings   → trigger: “purchase property using cash”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Sell current property and use proceeds to buy a new property   → trigger: “sell property and buy”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Sell current home and upgrade   → trigger: “sell home and upgrade”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Convert current home into an investment property   → trigger: “convert home to investment property”</w:t>
      </w:r>
    </w:p>
    <w:p>
      <w:pPr>
        <w:ind w:left="360"/>
      </w:pPr>
      <w:r>
        <w:rPr>
          <w:sz w:val="22"/>
        </w:rPr>
        <w:t xml:space="preserve">☐  </w:t>
      </w:r>
      <w:r>
        <w:t>Retain an existing investment property   → trigger: “retain investment property”</w:t>
      </w:r>
    </w:p>
    <w:p>
      <w:pPr>
        <w:ind w:left="360"/>
      </w:pPr>
      <w:r>
        <w:rPr>
          <w:sz w:val="22"/>
        </w:rPr>
        <w:t xml:space="preserve">☐  </w:t>
      </w:r>
      <w:r>
        <w:t>Sell an existing investment property   → trigger: “sell investment property”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Downsizer (sell home, downsize, contribute proceeds)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Purchase a home and rent part of it (partial rental of PPOR)   → trigger: “rent part of the property”</w:t>
      </w:r>
    </w:p>
    <w:p>
      <w:r>
        <w:rPr>
          <w:b/>
          <w:color w:val="127A7A"/>
          <w:sz w:val="22"/>
        </w:rPr>
        <w:t>3 · Investment Plan</w:t>
      </w:r>
    </w:p>
    <w:p>
      <w:pPr>
        <w:ind w:left="360"/>
      </w:pPr>
      <w:r>
        <w:rPr>
          <w:sz w:val="22"/>
        </w:rPr>
        <w:t xml:space="preserve">☐  </w:t>
      </w:r>
      <w:r>
        <w:t>Regular investment from cashflow / Term Loan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Lump-sum investment   → trigger: “lump sum investment”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Investment bond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In-specie transfer of an existing portfolio into the new account   → trigger: “in specie transfer”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Use inheritance / windfall to invest   → trigger: “inheritance to invest”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Sell down an existing investment / asset   → trigger: “sell down investment”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Vanguard / index option (instead of CARE managed portfolios)</w:t>
      </w:r>
    </w:p>
    <w:p>
      <w:pPr>
        <w:ind w:left="360"/>
      </w:pPr>
      <w:r>
        <w:rPr>
          <w:sz w:val="22"/>
        </w:rPr>
        <w:t xml:space="preserve">☐  </w:t>
      </w:r>
      <w:r>
        <w:t>Money on the move — tactical dollar-cost averaging acceleration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Joint investment account (couple ownership)</w:t>
      </w:r>
    </w:p>
    <w:p>
      <w:pPr>
        <w:ind w:left="360"/>
      </w:pPr>
      <w:r>
        <w:rPr>
          <w:sz w:val="22"/>
        </w:rPr>
        <w:t xml:space="preserve">☐  </w:t>
      </w:r>
      <w:r>
        <w:t>Reserves &amp; cash buffer for tactical liquidity (avoid forced selling)</w:t>
      </w:r>
    </w:p>
    <w:p>
      <w:pPr>
        <w:ind w:left="360"/>
      </w:pPr>
      <w:r>
        <w:rPr>
          <w:sz w:val="22"/>
        </w:rPr>
        <w:t xml:space="preserve">☐  </w:t>
      </w:r>
      <w:r>
        <w:t>Redirect mortgage repayments to investing once the home loan is repaid/offset</w:t>
      </w:r>
      <w:r>
        <w:rPr>
          <w:color w:val="127A7A"/>
        </w:rPr>
        <w:t xml:space="preserve">   $______</w:t>
      </w:r>
    </w:p>
    <w:p>
      <w:r>
        <w:rPr>
          <w:b/>
          <w:color w:val="127A7A"/>
          <w:sz w:val="22"/>
        </w:rPr>
        <w:t>4 · Superannuation</w:t>
      </w:r>
    </w:p>
    <w:p>
      <w:pPr>
        <w:ind w:left="360"/>
      </w:pPr>
      <w:r>
        <w:rPr>
          <w:sz w:val="22"/>
        </w:rPr>
        <w:t xml:space="preserve">☐  </w:t>
      </w:r>
      <w:r>
        <w:t>Establish new fund + full rollover (close &amp; transfer 100%)   → trigger: “rollover full benefits to new fund”</w:t>
      </w:r>
    </w:p>
    <w:p>
      <w:pPr>
        <w:ind w:left="360"/>
      </w:pPr>
      <w:r>
        <w:rPr>
          <w:sz w:val="22"/>
        </w:rPr>
        <w:t xml:space="preserve">☐  </w:t>
      </w:r>
      <w:r>
        <w:t>Establish new fund + partial rollover, retain minimum for insurance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Retain existing fund (invest in line with risk profile)   → trigger: “retain existing super”</w:t>
      </w:r>
    </w:p>
    <w:p>
      <w:pPr>
        <w:ind w:left="360"/>
      </w:pPr>
      <w:r>
        <w:rPr>
          <w:sz w:val="22"/>
        </w:rPr>
        <w:t xml:space="preserve">☐  </w:t>
      </w:r>
      <w:r>
        <w:t>Consolidate multiple super accounts   → trigger: “consolidate super”</w:t>
      </w:r>
    </w:p>
    <w:p>
      <w:pPr>
        <w:ind w:left="360"/>
      </w:pPr>
      <w:r>
        <w:rPr>
          <w:sz w:val="22"/>
        </w:rPr>
        <w:t xml:space="preserve">☐  </w:t>
      </w:r>
      <w:r>
        <w:t>In-specie transfer of super holdings   → trigger: “in specie super transfer”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Retain a defined benefit fund (scope out)   → trigger: “retain defined benefit”</w:t>
      </w:r>
    </w:p>
    <w:p>
      <w:pPr>
        <w:ind w:left="360"/>
      </w:pPr>
      <w:r>
        <w:rPr>
          <w:sz w:val="22"/>
        </w:rPr>
        <w:t xml:space="preserve">☐  </w:t>
      </w:r>
      <w:r>
        <w:t>Retain military super (member &amp; ancillary + employer/DB portion)</w:t>
      </w:r>
    </w:p>
    <w:p>
      <w:pPr>
        <w:ind w:left="360"/>
      </w:pPr>
      <w:r>
        <w:rPr>
          <w:sz w:val="22"/>
        </w:rPr>
        <w:t xml:space="preserve">☐  </w:t>
      </w:r>
      <w:r>
        <w:t>Redirect / continue employer contributions   → trigger: “redirect employer contributions”</w:t>
      </w:r>
    </w:p>
    <w:p>
      <w:pPr>
        <w:ind w:left="360"/>
      </w:pPr>
      <w:r>
        <w:rPr>
          <w:sz w:val="22"/>
        </w:rPr>
        <w:t xml:space="preserve">☐  </w:t>
      </w:r>
      <w:r>
        <w:t>Establish / manage an SMSF (rebalance + pension transition)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Commence a pension / transition to retirement (TTR)   → trigger: “account based pension”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Non-lapsing binding death benefit nomination   → trigger: “binding death nomination”</w:t>
      </w:r>
    </w:p>
    <w:p>
      <w:pPr>
        <w:ind w:left="360"/>
      </w:pPr>
      <w:r>
        <w:rPr>
          <w:sz w:val="22"/>
        </w:rPr>
        <w:t xml:space="preserve">☐  </w:t>
      </w:r>
      <w:r>
        <w:t>Recontribution strategy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SMSF wind-up / split on separation (in-specie to personal super)</w:t>
      </w:r>
    </w:p>
    <w:p>
      <w:pPr>
        <w:ind w:left="360"/>
      </w:pPr>
      <w:r>
        <w:rPr>
          <w:sz w:val="22"/>
        </w:rPr>
        <w:t xml:space="preserve">☐  </w:t>
      </w:r>
      <w:r>
        <w:t>Disability super benefit — staged lump-sum withdrawals (TPD/disability payout, tax-free uplift)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Reversionary beneficiary nomination (pension phase)</w:t>
      </w:r>
    </w:p>
    <w:p>
      <w:pPr>
        <w:ind w:left="360"/>
      </w:pPr>
      <w:r>
        <w:rPr>
          <w:sz w:val="22"/>
        </w:rPr>
        <w:t xml:space="preserve">☐  </w:t>
      </w:r>
      <w:r>
        <w:t>Seamless accumulation-to-pension transfer (no asset sale; avoid CGT / poor-timing sale)   → trigger: “transition to pension”</w:t>
      </w:r>
    </w:p>
    <w:p>
      <w:pPr>
        <w:ind w:left="360"/>
      </w:pPr>
      <w:r>
        <w:rPr>
          <w:sz w:val="22"/>
        </w:rPr>
        <w:t xml:space="preserve">☐  </w:t>
      </w:r>
      <w:r>
        <w:t>In-specie transfer of super on separation (SMSF asset split to personal super)</w:t>
      </w:r>
    </w:p>
    <w:p>
      <w:pPr>
        <w:ind w:left="360"/>
      </w:pPr>
      <w:r>
        <w:rPr>
          <w:sz w:val="22"/>
        </w:rPr>
        <w:t xml:space="preserve">☐  </w:t>
      </w:r>
      <w:r>
        <w:t>Commence pension before rebalancing to minimise CGT (defer rebalance to pension phase)   → trigger: “commence pension before rebalance”</w:t>
      </w:r>
    </w:p>
    <w:p>
      <w:pPr>
        <w:ind w:left="360"/>
      </w:pPr>
      <w:r>
        <w:rPr>
          <w:sz w:val="22"/>
        </w:rPr>
        <w:t xml:space="preserve">☐  </w:t>
      </w:r>
      <w:r>
        <w:t>Retain an existing SMSF (operate, add account, redirect contributions, reinvest)   → trigger: “retain smsf”</w:t>
      </w:r>
    </w:p>
    <w:p>
      <w:pPr>
        <w:ind w:left="360"/>
      </w:pPr>
      <w:r>
        <w:rPr>
          <w:sz w:val="22"/>
        </w:rPr>
        <w:t xml:space="preserve">☐  </w:t>
      </w:r>
      <w:r>
        <w:t>SMSF with corporate trustee holding a geared investment property (LRBA cashflow)   → trigger: “smsf property”</w:t>
      </w:r>
    </w:p>
    <w:p>
      <w:pPr>
        <w:ind w:left="360"/>
      </w:pPr>
      <w:r>
        <w:rPr>
          <w:sz w:val="22"/>
        </w:rPr>
        <w:t xml:space="preserve">☐  </w:t>
      </w:r>
      <w:r>
        <w:t>SMSF wind-up / consolidation to a retail fund (non-separation, cost/suitability driven)   → trigger: “close your smsf”</w:t>
      </w:r>
      <w:r>
        <w:rPr>
          <w:color w:val="127A7A"/>
        </w:rPr>
        <w:t xml:space="preserve">   $______</w:t>
      </w:r>
    </w:p>
    <w:p>
      <w:r>
        <w:rPr>
          <w:b/>
          <w:color w:val="127A7A"/>
          <w:sz w:val="22"/>
        </w:rPr>
        <w:t>5 · Super Contributions</w:t>
      </w:r>
    </w:p>
    <w:p>
      <w:pPr>
        <w:ind w:left="360"/>
      </w:pPr>
      <w:r>
        <w:rPr>
          <w:sz w:val="22"/>
        </w:rPr>
        <w:t xml:space="preserve">☐  </w:t>
      </w:r>
      <w:r>
        <w:t>Salary sacrifice / concessional contributions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Carry-forward (catch-up) concessional contributions   → trigger: “carry forward”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Non-concessional contribution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Bring-forward non-concessional contribution   → trigger: “bring forward”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Spouse contribution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Government co-contribution</w:t>
      </w:r>
    </w:p>
    <w:p>
      <w:pPr>
        <w:ind w:left="360"/>
      </w:pPr>
      <w:r>
        <w:rPr>
          <w:sz w:val="22"/>
        </w:rPr>
        <w:t xml:space="preserve">☐  </w:t>
      </w:r>
      <w:r>
        <w:t>Contribution splitting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Personal deductible contribution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Work test note (age 67+)</w:t>
      </w:r>
    </w:p>
    <w:p>
      <w:pPr>
        <w:ind w:left="360"/>
      </w:pPr>
      <w:r>
        <w:rPr>
          <w:sz w:val="22"/>
        </w:rPr>
        <w:t xml:space="preserve">☐  </w:t>
      </w:r>
      <w:r>
        <w:t>Downsizer contribution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Contributions reserving strategy (double concessional cap before age 67)   → trigger: “contribution reserving”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First Home Super Saver Scheme (FHSSS)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Salary packaging (employer-provided, e.g. health / PBI sector)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Carry-forward concessional contribution to offset CGT on an asset sale   → trigger: “carry forward”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Salary sacrifice future rental increases into super (or to the gearing plan)   → trigger: “rent increases salary sacrifice”</w:t>
      </w:r>
    </w:p>
    <w:p>
      <w:r>
        <w:rPr>
          <w:b/>
          <w:color w:val="127A7A"/>
          <w:sz w:val="22"/>
        </w:rPr>
        <w:t>6 · Insurance / Personal Protection</w:t>
      </w:r>
    </w:p>
    <w:p>
      <w:pPr>
        <w:ind w:left="360"/>
      </w:pPr>
      <w:r>
        <w:rPr>
          <w:sz w:val="22"/>
        </w:rPr>
        <w:t xml:space="preserve">☐  </w:t>
      </w:r>
      <w:r>
        <w:t>Take out new cover (Life / TPD / Trauma / IP)   → trigger: “new insurance”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Top-up / increase existing cover   → trigger: “top-up insurance”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Replace / cancel &amp; take out new cover (with takeover terms)   → trigger: “cancel and replace insurance”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Retain existing cover (inside super)   → trigger: “retain insurance”</w:t>
      </w:r>
    </w:p>
    <w:p>
      <w:pPr>
        <w:ind w:left="360"/>
      </w:pPr>
      <w:r>
        <w:rPr>
          <w:sz w:val="22"/>
        </w:rPr>
        <w:t xml:space="preserve">☐  </w:t>
      </w:r>
      <w:r>
        <w:t>Income Protection — retain existing   → trigger: “retain income protection”</w:t>
      </w:r>
    </w:p>
    <w:p>
      <w:pPr>
        <w:ind w:left="360"/>
      </w:pPr>
      <w:r>
        <w:rPr>
          <w:sz w:val="22"/>
        </w:rPr>
        <w:t xml:space="preserve">☐  </w:t>
      </w:r>
      <w:r>
        <w:t>Employer-paid / default cover (retain or note)   → trigger: “employer paid cover”</w:t>
      </w:r>
    </w:p>
    <w:p>
      <w:pPr>
        <w:ind w:left="360"/>
      </w:pPr>
      <w:r>
        <w:rPr>
          <w:sz w:val="22"/>
        </w:rPr>
        <w:t xml:space="preserve">☐  </w:t>
      </w:r>
      <w:r>
        <w:t>Child cover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Premium structure — stepped vs level / variable age-stepped   → trigger: “stepped premium”</w:t>
      </w:r>
    </w:p>
    <w:p>
      <w:pPr>
        <w:ind w:left="360"/>
      </w:pPr>
      <w:r>
        <w:rPr>
          <w:sz w:val="22"/>
        </w:rPr>
        <w:t xml:space="preserve">☐  </w:t>
      </w:r>
      <w:r>
        <w:t>Cancel cover no longer required   → trigger: “cancel insurance”</w:t>
      </w:r>
    </w:p>
    <w:p>
      <w:pPr>
        <w:ind w:left="360"/>
      </w:pPr>
      <w:r>
        <w:rPr>
          <w:sz w:val="22"/>
        </w:rPr>
        <w:t xml:space="preserve">☐  </w:t>
      </w:r>
      <w:r>
        <w:t>Income Protection — increasing/CPI-indexed claim benefit   → trigger: “increasing claim”</w:t>
      </w:r>
    </w:p>
    <w:p>
      <w:pPr>
        <w:ind w:left="360"/>
      </w:pPr>
      <w:r>
        <w:rPr>
          <w:sz w:val="22"/>
        </w:rPr>
        <w:t xml:space="preserve">☐  </w:t>
      </w:r>
      <w:r>
        <w:t>Trauma cover with reinstatement benefit   → trigger: “trauma reinstatement”</w:t>
      </w:r>
    </w:p>
    <w:p>
      <w:pPr>
        <w:ind w:left="360"/>
      </w:pPr>
      <w:r>
        <w:rPr>
          <w:sz w:val="22"/>
        </w:rPr>
        <w:t xml:space="preserve">☐  </w:t>
      </w:r>
      <w:r>
        <w:t>Linked cover with buy-back feature   → trigger: “buy back”</w:t>
      </w:r>
    </w:p>
    <w:p>
      <w:pPr>
        <w:ind w:left="360"/>
      </w:pPr>
      <w:r>
        <w:rPr>
          <w:sz w:val="22"/>
        </w:rPr>
        <w:t xml:space="preserve">☐  </w:t>
      </w:r>
      <w:r>
        <w:t>Future insurability / guaranteed future increases</w:t>
      </w:r>
    </w:p>
    <w:p>
      <w:pPr>
        <w:ind w:left="360"/>
      </w:pPr>
      <w:r>
        <w:rPr>
          <w:sz w:val="22"/>
        </w:rPr>
        <w:t xml:space="preserve">☐  </w:t>
      </w:r>
      <w:r>
        <w:t>Guaranteed renewable income protection</w:t>
      </w:r>
    </w:p>
    <w:p>
      <w:pPr>
        <w:ind w:left="360"/>
      </w:pPr>
      <w:r>
        <w:rPr>
          <w:sz w:val="22"/>
        </w:rPr>
        <w:t xml:space="preserve">☐  </w:t>
      </w:r>
      <w:r>
        <w:t>Own-occupation TPD definition   → trigger: “own occupation”</w:t>
      </w:r>
    </w:p>
    <w:p>
      <w:pPr>
        <w:ind w:left="360"/>
      </w:pPr>
      <w:r>
        <w:rPr>
          <w:sz w:val="22"/>
        </w:rPr>
        <w:t xml:space="preserve">☐  </w:t>
      </w:r>
      <w:r>
        <w:t>Differentiate TPD definition by life stage (own-occ primary earner / any-occ spouse)   → trigger: “differential tpd”</w:t>
      </w:r>
    </w:p>
    <w:p>
      <w:pPr>
        <w:ind w:left="360"/>
      </w:pPr>
      <w:r>
        <w:rPr>
          <w:sz w:val="22"/>
        </w:rPr>
        <w:t xml:space="preserve">☐  </w:t>
      </w:r>
      <w:r>
        <w:t>Trauma payout deployment (medical recovery + partner salary replacement)</w:t>
      </w:r>
    </w:p>
    <w:p>
      <w:pPr>
        <w:ind w:left="360"/>
      </w:pPr>
      <w:r>
        <w:rPr>
          <w:sz w:val="22"/>
        </w:rPr>
        <w:t xml:space="preserve">☐  </w:t>
      </w:r>
      <w:r>
        <w:t>Retain cover during workforce absence (maternity / parental leave)   → trigger: “maternity leave”</w:t>
      </w:r>
    </w:p>
    <w:p>
      <w:pPr>
        <w:ind w:left="360"/>
      </w:pPr>
      <w:r>
        <w:rPr>
          <w:sz w:val="22"/>
        </w:rPr>
        <w:t xml:space="preserve">☐  </w:t>
      </w:r>
      <w:r>
        <w:t>Dual-layer cover (retain minimum in super + new personal cover)   → trigger: “dual layer”</w:t>
      </w:r>
    </w:p>
    <w:p>
      <w:pPr>
        <w:ind w:left="360"/>
      </w:pPr>
      <w:r>
        <w:rPr>
          <w:sz w:val="22"/>
        </w:rPr>
        <w:t xml:space="preserve">☐  </w:t>
      </w:r>
      <w:r>
        <w:t>Cancel cover no longer required (age + debt-free + income-replacement redundant)   → trigger: “cancel insurance”</w:t>
      </w:r>
    </w:p>
    <w:p>
      <w:pPr>
        <w:ind w:left="360"/>
      </w:pPr>
      <w:r>
        <w:rPr>
          <w:sz w:val="22"/>
        </w:rPr>
        <w:t xml:space="preserve">☐  </w:t>
      </w:r>
      <w:r>
        <w:t>Child cover with guaranteed conversion to adult cover</w:t>
      </w:r>
    </w:p>
    <w:p>
      <w:pPr>
        <w:ind w:left="360"/>
      </w:pPr>
      <w:r>
        <w:rPr>
          <w:sz w:val="22"/>
        </w:rPr>
        <w:t xml:space="preserve">☐  </w:t>
      </w:r>
      <w:r>
        <w:t>Dual income protection — retail top-up over employer/industry cover (offset benefit)   → trigger: “two income protection policies”</w:t>
      </w:r>
    </w:p>
    <w:p>
      <w:pPr>
        <w:ind w:left="360"/>
      </w:pPr>
      <w:r>
        <w:rPr>
          <w:sz w:val="22"/>
        </w:rPr>
        <w:t xml:space="preserve">☐  </w:t>
      </w:r>
      <w:r>
        <w:t>Occupation pre-assessment / high-risk occupation constraint</w:t>
      </w:r>
    </w:p>
    <w:p>
      <w:pPr>
        <w:ind w:left="360"/>
      </w:pPr>
      <w:r>
        <w:rPr>
          <w:sz w:val="22"/>
        </w:rPr>
        <w:t xml:space="preserve">☐  </w:t>
      </w:r>
      <w:r>
        <w:t>Size TPD sum insured with a super-tax uplift (gross-up if claimed in super)   → trigger: “22% uplift”</w:t>
      </w:r>
    </w:p>
    <w:p>
      <w:pPr>
        <w:ind w:left="360"/>
      </w:pPr>
      <w:r>
        <w:rPr>
          <w:sz w:val="22"/>
        </w:rPr>
        <w:t xml:space="preserve">☐  </w:t>
      </w:r>
      <w:r>
        <w:t>Income Protection affordability structuring — waiting &amp; benefit period calibrated to cash/leave   → trigger: “90 day wait”</w:t>
      </w:r>
    </w:p>
    <w:p>
      <w:r>
        <w:rPr>
          <w:b/>
          <w:color w:val="127A7A"/>
          <w:sz w:val="22"/>
        </w:rPr>
        <w:t>7 · Cashflow &amp; Budgeting</w:t>
      </w:r>
    </w:p>
    <w:p>
      <w:pPr>
        <w:ind w:left="360"/>
      </w:pPr>
      <w:r>
        <w:rPr>
          <w:sz w:val="22"/>
        </w:rPr>
        <w:t xml:space="preserve">☐  </w:t>
      </w:r>
      <w:r>
        <w:t>Establish an MCMA / cash hub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Direct surplus income to offset / savings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Budget / spending plan recommendation</w:t>
      </w:r>
    </w:p>
    <w:p>
      <w:r>
        <w:rPr>
          <w:b/>
          <w:color w:val="127A7A"/>
          <w:sz w:val="22"/>
        </w:rPr>
        <w:t>8 · Estate Planning</w:t>
      </w:r>
    </w:p>
    <w:p>
      <w:pPr>
        <w:ind w:left="360"/>
      </w:pPr>
      <w:r>
        <w:rPr>
          <w:sz w:val="22"/>
        </w:rPr>
        <w:t xml:space="preserve">☐  </w:t>
      </w:r>
      <w:r>
        <w:t>Prepare / review your Will</w:t>
      </w:r>
    </w:p>
    <w:p>
      <w:pPr>
        <w:ind w:left="360"/>
      </w:pPr>
      <w:r>
        <w:rPr>
          <w:sz w:val="22"/>
        </w:rPr>
        <w:t xml:space="preserve">☐  </w:t>
      </w:r>
      <w:r>
        <w:t>Prepare / review Power of Attorney</w:t>
      </w:r>
    </w:p>
    <w:p>
      <w:pPr>
        <w:ind w:left="360"/>
      </w:pPr>
      <w:r>
        <w:rPr>
          <w:sz w:val="22"/>
        </w:rPr>
        <w:t xml:space="preserve">☐  </w:t>
      </w:r>
      <w:r>
        <w:t>Non-lapsing binding death benefit nomination (super)   → trigger: “binding nomination”</w:t>
      </w:r>
    </w:p>
    <w:p>
      <w:pPr>
        <w:ind w:left="360"/>
      </w:pPr>
      <w:r>
        <w:rPr>
          <w:sz w:val="22"/>
        </w:rPr>
        <w:t xml:space="preserve">☐  </w:t>
      </w:r>
      <w:r>
        <w:t>Testamentary trust</w:t>
      </w:r>
    </w:p>
    <w:p>
      <w:pPr>
        <w:ind w:left="360"/>
      </w:pPr>
      <w:r>
        <w:rPr>
          <w:sz w:val="22"/>
        </w:rPr>
        <w:t xml:space="preserve">☐  </w:t>
      </w:r>
      <w:r>
        <w:t>Apply for the Centrelink Age Pension (retirement trigger)</w:t>
      </w:r>
      <w:r>
        <w:rPr>
          <w:color w:val="127A7A"/>
        </w:rPr>
        <w:t xml:space="preserve">   $______</w:t>
      </w:r>
    </w:p>
    <w:p>
      <w:r>
        <w:rPr>
          <w:b/>
          <w:color w:val="127A7A"/>
          <w:sz w:val="22"/>
        </w:rPr>
        <w:t>9 · Administration</w:t>
      </w:r>
    </w:p>
    <w:p>
      <w:pPr>
        <w:ind w:left="360"/>
      </w:pPr>
      <w:r>
        <w:rPr>
          <w:sz w:val="22"/>
        </w:rPr>
        <w:t xml:space="preserve">☐  </w:t>
      </w:r>
      <w:r>
        <w:t>Use the My Wealth Portal</w:t>
      </w:r>
    </w:p>
    <w:p>
      <w:pPr>
        <w:ind w:left="360"/>
      </w:pPr>
      <w:r>
        <w:rPr>
          <w:sz w:val="22"/>
        </w:rPr>
        <w:t xml:space="preserve">☐  </w:t>
      </w:r>
      <w:r>
        <w:t>Establish your investments through the recommended platform</w:t>
      </w:r>
      <w:r>
        <w:rPr>
          <w:color w:val="127A7A"/>
        </w:rPr>
        <w:t xml:space="preserve">   $______</w:t>
      </w:r>
    </w:p>
    <w:p>
      <w:r>
        <w:rPr>
          <w:b/>
          <w:color w:val="127A7A"/>
          <w:sz w:val="22"/>
        </w:rPr>
        <w:t>10 · Entities (company / trust / SMSF)</w:t>
      </w:r>
    </w:p>
    <w:p>
      <w:pPr>
        <w:ind w:left="360"/>
      </w:pPr>
      <w:r>
        <w:rPr>
          <w:sz w:val="22"/>
        </w:rPr>
        <w:t xml:space="preserve">☐  </w:t>
      </w:r>
      <w:r>
        <w:t>Investment company / bucket company</w:t>
      </w:r>
      <w:r>
        <w:rPr>
          <w:color w:val="127A7A"/>
        </w:rPr>
        <w:t xml:space="preserve">   $______</w:t>
      </w:r>
    </w:p>
    <w:p>
      <w:pPr>
        <w:ind w:left="360"/>
      </w:pPr>
      <w:r>
        <w:rPr>
          <w:sz w:val="22"/>
        </w:rPr>
        <w:t xml:space="preserve">☐  </w:t>
      </w:r>
      <w:r>
        <w:t>Family / discretionary trust (as advice entity)   → trigger: “family trust”</w:t>
      </w:r>
    </w:p>
    <w:p>
      <w:pPr>
        <w:ind w:left="360"/>
      </w:pPr>
      <w:r>
        <w:rPr>
          <w:sz w:val="22"/>
        </w:rPr>
        <w:t xml:space="preserve">☐  </w:t>
      </w:r>
      <w:r>
        <w:t>SMSF as advice entity</w:t>
      </w:r>
    </w:p>
    <w:p>
      <w:r>
        <w:rPr>
          <w:b/>
          <w:color w:val="1F3A5F"/>
          <w:sz w:val="30"/>
        </w:rPr>
        <w:t>PART 5 — Adviser Notes / Free Text  [keyword-scanned]</w:t>
      </w:r>
    </w:p>
    <w:p>
      <w:r>
        <w:rPr>
          <w:i/>
          <w:color w:val="555555"/>
          <w:sz w:val="18"/>
        </w:rPr>
        <w:t>Write naturally. The engine still scans this for any trigger phrases not ticked above, and flags instructions it can't match so nothing is silently dropped.</w:t>
      </w:r>
    </w:p>
    <w:p>
      <w:r>
        <w:t>…</w:t>
      </w:r>
    </w:p>
    <w:p>
      <w:r>
        <w:t>…</w:t>
      </w:r>
    </w:p>
    <w:p>
      <w:r>
        <w:t>…</w:t>
      </w:r>
    </w:p>
    <w:p>
      <w:r>
        <w:t>…</w:t>
      </w:r>
    </w:p>
    <w:p>
      <w:r>
        <w:rPr>
          <w:b/>
          <w:color w:val="1F3A5F"/>
          <w:sz w:val="30"/>
        </w:rPr>
        <w:t>PART 6 — Fees &amp; Remuneration  [read directly into Remuneration section]</w:t>
      </w:r>
    </w:p>
    <w:p>
      <w:r>
        <w:rPr>
          <w:b/>
        </w:rPr>
        <w:t xml:space="preserve">Upfront advice fee: </w:t>
      </w:r>
      <w:r>
        <w:t>_______________________________</w:t>
      </w:r>
      <w:r>
        <w:rPr>
          <w:i/>
          <w:color w:val="555555"/>
          <w:sz w:val="16"/>
        </w:rPr>
        <w:t xml:space="preserve">   $ or %</w:t>
      </w:r>
    </w:p>
    <w:p>
      <w:r>
        <w:rPr>
          <w:b/>
        </w:rPr>
        <w:t xml:space="preserve">Ongoing advice fee: </w:t>
      </w:r>
      <w:r>
        <w:t>_______________________________</w:t>
      </w:r>
      <w:r>
        <w:rPr>
          <w:i/>
          <w:color w:val="555555"/>
          <w:sz w:val="16"/>
        </w:rPr>
        <w:t xml:space="preserve">   $ p.a. or % FUM</w:t>
      </w:r>
    </w:p>
    <w:p>
      <w:r>
        <w:rPr>
          <w:b/>
        </w:rPr>
        <w:t xml:space="preserve">Insurance commission: </w:t>
      </w:r>
      <w:r>
        <w:t>_______________________________</w:t>
      </w:r>
      <w:r>
        <w:rPr>
          <w:i/>
          <w:color w:val="555555"/>
          <w:sz w:val="16"/>
        </w:rPr>
        <w:t xml:space="preserve">   upfront % / ongoing % or $ Y1 / Y2</w:t>
      </w:r>
    </w:p>
    <w:p>
      <w:r>
        <w:rPr>
          <w:b/>
        </w:rPr>
        <w:t xml:space="preserve">Fee funding source: </w:t>
      </w:r>
      <w:r>
        <w:t>_______________________________</w:t>
      </w:r>
      <w:r>
        <w:rPr>
          <w:i/>
          <w:color w:val="555555"/>
          <w:sz w:val="16"/>
        </w:rPr>
        <w:t xml:space="preserve">   super / cashflow / both</w:t>
      </w:r>
    </w:p>
    <w:p>
      <w:r>
        <w:rPr>
          <w:b/>
          <w:color w:val="1F3A5F"/>
          <w:sz w:val="30"/>
        </w:rPr>
        <w:t>PART 7 — Super &amp; Insurance Actions  [read directly into tables]</w:t>
      </w:r>
    </w:p>
    <w:p>
      <w:r>
        <w:rPr>
          <w:b/>
        </w:rPr>
        <w:t xml:space="preserve">Super fund action(s): </w:t>
      </w:r>
      <w:r>
        <w:t>_______________________________</w:t>
      </w:r>
      <w:r>
        <w:rPr>
          <w:i/>
          <w:color w:val="555555"/>
          <w:sz w:val="16"/>
        </w:rPr>
        <w:t xml:space="preserve">   retain / full rollover / partial rollover (retain $___ for insurance) / consolidate</w:t>
      </w:r>
    </w:p>
    <w:p>
      <w:r>
        <w:rPr>
          <w:b/>
        </w:rPr>
        <w:t xml:space="preserve">Existing super funds: </w:t>
      </w:r>
      <w:r>
        <w:t>_______________________________</w:t>
      </w:r>
      <w:r>
        <w:rPr>
          <w:i/>
          <w:color w:val="555555"/>
          <w:sz w:val="16"/>
        </w:rPr>
        <w:t xml:space="preserve">   fund + balance + DB portion</w:t>
      </w:r>
    </w:p>
    <w:p>
      <w:r>
        <w:rPr>
          <w:b/>
        </w:rPr>
        <w:t xml:space="preserve">Insurance covers: </w:t>
      </w:r>
      <w:r>
        <w:t>_______________________________</w:t>
      </w:r>
      <w:r>
        <w:rPr>
          <w:i/>
          <w:color w:val="555555"/>
          <w:sz w:val="16"/>
        </w:rPr>
        <w:t xml:space="preserve">   Life / TPD / Trauma / IP — amounts, owner, structure, wait/benefit period</w:t>
      </w:r>
    </w:p>
    <w:p>
      <w:r>
        <w:rPr>
          <w:b/>
        </w:rPr>
        <w:t xml:space="preserve">Loan / debt figures: </w:t>
      </w:r>
      <w:r>
        <w:t>_______________________________</w:t>
      </w:r>
      <w:r>
        <w:rPr>
          <w:i/>
          <w:color w:val="555555"/>
          <w:sz w:val="16"/>
        </w:rPr>
        <w:t xml:space="preserve">   balances, limits, equity release, term-loan initial + monthly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